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ectionLabel"/>
        <w:jc w:val="center"/>
        <w:widowControl/>
      </w:pPr>
      <w:r>
        <w:t>HANDS FREE LEARNING</w:t>
      </w:r>
    </w:p>
    <w:p>
      <w:pPr>
        <w:pStyle w:val="Title"/>
        <w:spacing w:before="1600"/>
        <w:jc w:val="center"/>
      </w:pPr>
      <w:r>
        <w:t>Hands Free Learning Vision Mission and Family Handbook</w:t>
      </w:r>
    </w:p>
    <w:p>
      <w:pPr>
        <w:pStyle w:val="Subtitle"/>
        <w:jc w:val="center"/>
      </w:pPr>
      <w:r>
        <w:t>Founding Edition</w:t>
      </w:r>
    </w:p>
    <w:p>
      <w:pPr>
        <w:pStyle w:val="Subtitle"/>
        <w:jc w:val="center"/>
      </w:pPr>
      <w:r>
        <w:t>September 2026</w:t>
      </w:r>
    </w:p>
    <w:p>
      <w:pPr>
        <w:spacing w:before="900"/>
        <w:jc w:val="center"/>
        <w:widowControl/>
      </w:pPr>
      <w:r>
        <w:rPr>
          <w:b/>
          <w:color w:val="355E4A"/>
          <w:sz w:val="22"/>
        </w:rPr>
        <w:t>LEARNING BUILT AROUND THE CHILD</w:t>
      </w:r>
    </w:p>
    <w:p>
      <w:pPr>
        <w:spacing w:before="840"/>
        <w:jc w:val="center"/>
        <w:widowControl/>
      </w:pPr>
      <w:r>
        <w:rPr>
          <w:color w:val="66706A"/>
          <w:sz w:val="21"/>
        </w:rPr>
        <w:t>High expectations  |  Individualized learning  |  Room to explore grow and belong</w:t>
      </w:r>
    </w:p>
    <w:p>
      <w:pPr>
        <w:spacing w:before="1600"/>
        <w:jc w:val="center"/>
        <w:widowControl/>
      </w:pPr>
      <w:r>
        <w:rPr>
          <w:b/>
          <w:sz w:val="22"/>
        </w:rPr>
        <w:t>Founded by Ama Akerele</w:t>
      </w:r>
    </w:p>
    <w:p>
      <w:pPr>
        <w:pStyle w:val="SmallText"/>
        <w:jc w:val="center"/>
        <w:widowControl/>
      </w:pPr>
      <w:r>
        <w:t>3951 Alma Road Unit 301  |  McKinney Texas</w:t>
      </w:r>
    </w:p>
    <w:p>
      <w:pPr>
        <w:widowControl/>
      </w:pPr>
      <w:r>
        <w:br w:type="page"/>
      </w:r>
    </w:p>
    <w:p>
      <w:pPr>
        <w:pStyle w:val="SectionLabel"/>
        <w:widowControl/>
      </w:pPr>
      <w:r>
        <w:t>INTRODUCTION</w:t>
      </w:r>
    </w:p>
    <w:p>
      <w:pPr>
        <w:pStyle w:val="Heading1"/>
        <w:widowControl/>
      </w:pPr>
      <w:r>
        <w:t>Purpose of This Handbook</w:t>
      </w:r>
    </w:p>
    <w:p>
      <w:pPr>
        <w:widowControl/>
      </w:pPr>
      <w:r>
        <w:t>This handbook gives families, educators, partners, and future team members a clear picture of what Hands Free Learning is building, how children will experience learning here, and how families and HFL will work together. It brings the founding vision, educational model, program structure, culture, and core family expectations into one document.</w:t>
      </w:r>
    </w:p>
    <w:p>
      <w:pPr>
        <w:widowControl/>
      </w:pPr>
      <w:r>
        <w:t>Hands Free Learning is being built as a personalized learning community for preschool and elementary-age children. Academic excellence matters here, but it is pursued in a way that respects the whole child. Children receive intentional teaching, targeted support, room for curiosity, meaningful play, enrichment, and relationships that help them grow in confidence and character.</w:t>
      </w:r>
    </w:p>
    <w:p>
      <w:pPr>
        <w:widowControl/>
      </w:pPr>
      <w:r>
        <w:t>The vision and educational principles in this handbook are intended to remain steady as HFL grows. Program schedules, fees, enrollment procedures, and operational policies may be updated as the community develops and as legal or regulatory requirements change. Current enrollment agreements and written program notices govern those details.</w:t>
      </w:r>
    </w:p>
    <w:p>
      <w:pPr>
        <w:pStyle w:val="Heading2"/>
        <w:widowControl/>
      </w:pPr>
      <w:r>
        <w:t>A Note From the Founder</w:t>
      </w:r>
    </w:p>
    <w:p>
      <w:pPr>
        <w:widowControl/>
      </w:pPr>
      <w:r>
        <w:t>I am an educator, a mother, and a third-generation educator. My experience across early childhood, elementary education, academic intervention, special education, homeschooling, and private tutoring taught me that children thrive when adults know them well and teach them with both high expectations and care.</w:t>
      </w:r>
    </w:p>
    <w:p>
      <w:pPr>
        <w:widowControl/>
      </w:pPr>
      <w:r>
        <w:t>As a mother, I was looking for an environment that could hold several things together: academic depth, individualized learning, curiosity, character, flexibility, community, and a childhood that still had room for play and discovery. I did not want families to feel they had to choose between rigor and joy, or between being involved and receiving meaningful support. Hands Free Learning grew from that conviction.</w:t>
      </w:r>
    </w:p>
    <w:p>
      <w:pPr>
        <w:keepLines/>
        <w:widowControl/>
      </w:pPr>
      <w:r>
        <w:t>We are building a place where children are known, where their needs are identified early, where their strengths are developed, and where families have a skilled educational partner. This handbook is the foundation for that work.</w:t>
      </w:r>
    </w:p>
    <w:p>
      <w:pPr>
        <w:pStyle w:val="SmallText"/>
        <w:widowControl/>
      </w:pPr>
      <w:r>
        <w:t>Ama Akerele</w:t>
      </w:r>
    </w:p>
    <w:p>
      <w:pPr>
        <w:pStyle w:val="SmallText"/>
        <w:widowControl/>
      </w:pPr>
      <w:r>
        <w:t>Founder and Educational Director</w:t>
      </w:r>
    </w:p>
    <w:p>
      <w:pPr>
        <w:widowControl/>
      </w:pPr>
      <w:r>
        <w:br w:type="page"/>
      </w:r>
    </w:p>
    <w:p>
      <w:pPr>
        <w:pStyle w:val="Heading1"/>
        <w:widowControl/>
      </w:pPr>
      <w:r>
        <w:t>Contents</w:t>
      </w:r>
    </w:p>
    <w:tbl>
      <w:tblPr>
        <w:tblW w:type="auto" w:w="0"/>
        <w:jc w:val="center"/>
        <w:tblLayout w:type="fixed"/>
        <w:tblLook w:firstColumn="1" w:firstRow="1" w:lastColumn="0" w:lastRow="0" w:noHBand="0" w:noVBand="1" w:val="04A0"/>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Pr>
      <w:tblGrid>
        <w:gridCol w:w="4939"/>
        <w:gridCol w:w="4939"/>
      </w:tblGrid>
      <w:tr>
        <w:trPr>
          <w:tblHeader w:val="true"/>
        </w:trPr>
        <w:tc>
          <w:tcPr>
            <w:tcW w:type="dxa" w:w="1224"/>
            <w:vAlign w:val="center"/>
            <w:shd w:fill="30383A"/>
            <w:tcMar>
              <w:top w:w="100" w:type="dxa"/>
              <w:start w:w="120" w:type="dxa"/>
              <w:bottom w:w="100" w:type="dxa"/>
              <w:end w:w="120" w:type="dxa"/>
            </w:tcMar>
          </w:tcPr>
          <w:p>
            <w:pPr>
              <w:spacing w:after="0"/>
              <w:jc w:val="left"/>
            </w:pPr>
            <w:r>
              <w:rPr>
                <w:b/>
                <w:color w:val="FFFFFF"/>
                <w:sz w:val="19"/>
              </w:rPr>
              <w:t>Section</w:t>
            </w:r>
          </w:p>
        </w:tc>
        <w:tc>
          <w:tcPr>
            <w:tcW w:type="dxa" w:w="8208"/>
            <w:vAlign w:val="center"/>
            <w:shd w:fill="30383A"/>
            <w:tcMar>
              <w:top w:w="100" w:type="dxa"/>
              <w:start w:w="120" w:type="dxa"/>
              <w:bottom w:w="100" w:type="dxa"/>
              <w:end w:w="120" w:type="dxa"/>
            </w:tcMar>
          </w:tcPr>
          <w:p>
            <w:pPr>
              <w:spacing w:after="0"/>
              <w:jc w:val="left"/>
            </w:pPr>
            <w:r>
              <w:rPr>
                <w:b/>
                <w:color w:val="FFFFFF"/>
                <w:sz w:val="19"/>
              </w:rPr>
              <w:t>Topic</w:t>
            </w:r>
          </w:p>
        </w:tc>
      </w:tr>
      <w:tr>
        <w:tc>
          <w:tcPr>
            <w:tcW w:type="dxa" w:w="1224"/>
            <w:vAlign w:val="center"/>
            <w:tcMar>
              <w:top w:w="100" w:type="dxa"/>
              <w:start w:w="120" w:type="dxa"/>
              <w:bottom w:w="100" w:type="dxa"/>
              <w:end w:w="120" w:type="dxa"/>
            </w:tcMar>
          </w:tcPr>
          <w:p>
            <w:pPr>
              <w:spacing w:after="0" w:line="252" w:lineRule="auto"/>
            </w:pPr>
            <w:r>
              <w:rPr>
                <w:sz w:val="18"/>
              </w:rPr>
              <w:t>1</w:t>
            </w:r>
          </w:p>
        </w:tc>
        <w:tc>
          <w:tcPr>
            <w:tcW w:type="dxa" w:w="8208"/>
            <w:vAlign w:val="center"/>
            <w:tcMar>
              <w:top w:w="100" w:type="dxa"/>
              <w:start w:w="120" w:type="dxa"/>
              <w:bottom w:w="100" w:type="dxa"/>
              <w:end w:w="120" w:type="dxa"/>
            </w:tcMar>
          </w:tcPr>
          <w:p>
            <w:pPr>
              <w:spacing w:after="0" w:line="252" w:lineRule="auto"/>
            </w:pPr>
            <w:r>
              <w:rPr>
                <w:sz w:val="18"/>
              </w:rPr>
              <w:t>Vision and Mission</w:t>
            </w:r>
          </w:p>
        </w:tc>
      </w:tr>
      <w:tr>
        <w:tc>
          <w:tcPr>
            <w:tcW w:type="dxa" w:w="1224"/>
            <w:vAlign w:val="center"/>
            <w:tcMar>
              <w:top w:w="100" w:type="dxa"/>
              <w:start w:w="120" w:type="dxa"/>
              <w:bottom w:w="100" w:type="dxa"/>
              <w:end w:w="120" w:type="dxa"/>
            </w:tcMar>
            <w:shd w:fill="F3F4F2"/>
          </w:tcPr>
          <w:p>
            <w:pPr>
              <w:spacing w:after="0" w:line="252" w:lineRule="auto"/>
            </w:pPr>
            <w:r>
              <w:rPr>
                <w:sz w:val="18"/>
              </w:rPr>
              <w:t>2</w:t>
            </w:r>
          </w:p>
        </w:tc>
        <w:tc>
          <w:tcPr>
            <w:tcW w:type="dxa" w:w="8208"/>
            <w:vAlign w:val="center"/>
            <w:tcMar>
              <w:top w:w="100" w:type="dxa"/>
              <w:start w:w="120" w:type="dxa"/>
              <w:bottom w:w="100" w:type="dxa"/>
              <w:end w:w="120" w:type="dxa"/>
            </w:tcMar>
            <w:shd w:fill="F3F4F2"/>
          </w:tcPr>
          <w:p>
            <w:pPr>
              <w:spacing w:after="0" w:line="252" w:lineRule="auto"/>
            </w:pPr>
            <w:r>
              <w:rPr>
                <w:sz w:val="18"/>
              </w:rPr>
              <w:t>Identity and Educational Promise</w:t>
            </w:r>
          </w:p>
        </w:tc>
      </w:tr>
      <w:tr>
        <w:tc>
          <w:tcPr>
            <w:tcW w:type="dxa" w:w="1224"/>
            <w:vAlign w:val="center"/>
            <w:tcMar>
              <w:top w:w="100" w:type="dxa"/>
              <w:start w:w="120" w:type="dxa"/>
              <w:bottom w:w="100" w:type="dxa"/>
              <w:end w:w="120" w:type="dxa"/>
            </w:tcMar>
          </w:tcPr>
          <w:p>
            <w:pPr>
              <w:spacing w:after="0" w:line="252" w:lineRule="auto"/>
            </w:pPr>
            <w:r>
              <w:rPr>
                <w:sz w:val="18"/>
              </w:rPr>
              <w:t>3</w:t>
            </w:r>
          </w:p>
        </w:tc>
        <w:tc>
          <w:tcPr>
            <w:tcW w:type="dxa" w:w="8208"/>
            <w:vAlign w:val="center"/>
            <w:tcMar>
              <w:top w:w="100" w:type="dxa"/>
              <w:start w:w="120" w:type="dxa"/>
              <w:bottom w:w="100" w:type="dxa"/>
              <w:end w:w="120" w:type="dxa"/>
            </w:tcMar>
          </w:tcPr>
          <w:p>
            <w:pPr>
              <w:spacing w:after="0" w:line="252" w:lineRule="auto"/>
            </w:pPr>
            <w:r>
              <w:rPr>
                <w:sz w:val="18"/>
              </w:rPr>
              <w:t>Educational Philosophy</w:t>
            </w:r>
          </w:p>
        </w:tc>
      </w:tr>
      <w:tr>
        <w:tc>
          <w:tcPr>
            <w:tcW w:type="dxa" w:w="1224"/>
            <w:vAlign w:val="center"/>
            <w:tcMar>
              <w:top w:w="100" w:type="dxa"/>
              <w:start w:w="120" w:type="dxa"/>
              <w:bottom w:w="100" w:type="dxa"/>
              <w:end w:w="120" w:type="dxa"/>
            </w:tcMar>
            <w:shd w:fill="F3F4F2"/>
          </w:tcPr>
          <w:p>
            <w:pPr>
              <w:spacing w:after="0" w:line="252" w:lineRule="auto"/>
            </w:pPr>
            <w:r>
              <w:rPr>
                <w:sz w:val="18"/>
              </w:rPr>
              <w:t>4</w:t>
            </w:r>
          </w:p>
        </w:tc>
        <w:tc>
          <w:tcPr>
            <w:tcW w:type="dxa" w:w="8208"/>
            <w:vAlign w:val="center"/>
            <w:tcMar>
              <w:top w:w="100" w:type="dxa"/>
              <w:start w:w="120" w:type="dxa"/>
              <w:bottom w:w="100" w:type="dxa"/>
              <w:end w:w="120" w:type="dxa"/>
            </w:tcMar>
            <w:shd w:fill="F3F4F2"/>
          </w:tcPr>
          <w:p>
            <w:pPr>
              <w:spacing w:after="0" w:line="252" w:lineRule="auto"/>
            </w:pPr>
            <w:r>
              <w:rPr>
                <w:sz w:val="18"/>
              </w:rPr>
              <w:t>Core Commitments</w:t>
            </w:r>
          </w:p>
        </w:tc>
      </w:tr>
      <w:tr>
        <w:tc>
          <w:tcPr>
            <w:tcW w:type="dxa" w:w="1224"/>
            <w:vAlign w:val="center"/>
            <w:tcMar>
              <w:top w:w="100" w:type="dxa"/>
              <w:start w:w="120" w:type="dxa"/>
              <w:bottom w:w="100" w:type="dxa"/>
              <w:end w:w="120" w:type="dxa"/>
            </w:tcMar>
          </w:tcPr>
          <w:p>
            <w:pPr>
              <w:spacing w:after="0" w:line="252" w:lineRule="auto"/>
            </w:pPr>
            <w:r>
              <w:rPr>
                <w:sz w:val="18"/>
              </w:rPr>
              <w:t>5</w:t>
            </w:r>
          </w:p>
        </w:tc>
        <w:tc>
          <w:tcPr>
            <w:tcW w:type="dxa" w:w="8208"/>
            <w:vAlign w:val="center"/>
            <w:tcMar>
              <w:top w:w="100" w:type="dxa"/>
              <w:start w:w="120" w:type="dxa"/>
              <w:bottom w:w="100" w:type="dxa"/>
              <w:end w:w="120" w:type="dxa"/>
            </w:tcMar>
          </w:tcPr>
          <w:p>
            <w:pPr>
              <w:spacing w:after="0" w:line="252" w:lineRule="auto"/>
            </w:pPr>
            <w:r>
              <w:rPr>
                <w:sz w:val="18"/>
              </w:rPr>
              <w:t>The Hands Free Learning Model</w:t>
            </w:r>
          </w:p>
        </w:tc>
      </w:tr>
      <w:tr>
        <w:tc>
          <w:tcPr>
            <w:tcW w:type="dxa" w:w="1224"/>
            <w:vAlign w:val="center"/>
            <w:tcMar>
              <w:top w:w="100" w:type="dxa"/>
              <w:start w:w="120" w:type="dxa"/>
              <w:bottom w:w="100" w:type="dxa"/>
              <w:end w:w="120" w:type="dxa"/>
            </w:tcMar>
            <w:shd w:fill="F3F4F2"/>
          </w:tcPr>
          <w:p>
            <w:pPr>
              <w:spacing w:after="0" w:line="252" w:lineRule="auto"/>
            </w:pPr>
            <w:r>
              <w:rPr>
                <w:sz w:val="18"/>
              </w:rPr>
              <w:t>6</w:t>
            </w:r>
          </w:p>
        </w:tc>
        <w:tc>
          <w:tcPr>
            <w:tcW w:type="dxa" w:w="8208"/>
            <w:vAlign w:val="center"/>
            <w:tcMar>
              <w:top w:w="100" w:type="dxa"/>
              <w:start w:w="120" w:type="dxa"/>
              <w:bottom w:w="100" w:type="dxa"/>
              <w:end w:w="120" w:type="dxa"/>
            </w:tcMar>
            <w:shd w:fill="F3F4F2"/>
          </w:tcPr>
          <w:p>
            <w:pPr>
              <w:spacing w:after="0" w:line="252" w:lineRule="auto"/>
            </w:pPr>
            <w:r>
              <w:rPr>
                <w:sz w:val="18"/>
              </w:rPr>
              <w:t>Programs and Learning Pathways</w:t>
            </w:r>
          </w:p>
        </w:tc>
      </w:tr>
      <w:tr>
        <w:tc>
          <w:tcPr>
            <w:tcW w:type="dxa" w:w="1224"/>
            <w:vAlign w:val="center"/>
            <w:tcMar>
              <w:top w:w="100" w:type="dxa"/>
              <w:start w:w="120" w:type="dxa"/>
              <w:bottom w:w="100" w:type="dxa"/>
              <w:end w:w="120" w:type="dxa"/>
            </w:tcMar>
          </w:tcPr>
          <w:p>
            <w:pPr>
              <w:spacing w:after="0" w:line="252" w:lineRule="auto"/>
            </w:pPr>
            <w:r>
              <w:rPr>
                <w:sz w:val="18"/>
              </w:rPr>
              <w:t>7</w:t>
            </w:r>
          </w:p>
        </w:tc>
        <w:tc>
          <w:tcPr>
            <w:tcW w:type="dxa" w:w="8208"/>
            <w:vAlign w:val="center"/>
            <w:tcMar>
              <w:top w:w="100" w:type="dxa"/>
              <w:start w:w="120" w:type="dxa"/>
              <w:bottom w:w="100" w:type="dxa"/>
              <w:end w:w="120" w:type="dxa"/>
            </w:tcMar>
          </w:tcPr>
          <w:p>
            <w:pPr>
              <w:spacing w:after="0" w:line="252" w:lineRule="auto"/>
            </w:pPr>
            <w:r>
              <w:rPr>
                <w:sz w:val="18"/>
              </w:rPr>
              <w:t>The Learner Journey</w:t>
            </w:r>
          </w:p>
        </w:tc>
      </w:tr>
      <w:tr>
        <w:tc>
          <w:tcPr>
            <w:tcW w:type="dxa" w:w="1224"/>
            <w:vAlign w:val="center"/>
            <w:tcMar>
              <w:top w:w="100" w:type="dxa"/>
              <w:start w:w="120" w:type="dxa"/>
              <w:bottom w:w="100" w:type="dxa"/>
              <w:end w:w="120" w:type="dxa"/>
            </w:tcMar>
            <w:shd w:fill="F3F4F2"/>
          </w:tcPr>
          <w:p>
            <w:pPr>
              <w:spacing w:after="0" w:line="252" w:lineRule="auto"/>
            </w:pPr>
            <w:r>
              <w:rPr>
                <w:sz w:val="18"/>
              </w:rPr>
              <w:t>8</w:t>
            </w:r>
          </w:p>
        </w:tc>
        <w:tc>
          <w:tcPr>
            <w:tcW w:type="dxa" w:w="8208"/>
            <w:vAlign w:val="center"/>
            <w:tcMar>
              <w:top w:w="100" w:type="dxa"/>
              <w:start w:w="120" w:type="dxa"/>
              <w:bottom w:w="100" w:type="dxa"/>
              <w:end w:w="120" w:type="dxa"/>
            </w:tcMar>
            <w:shd w:fill="F3F4F2"/>
          </w:tcPr>
          <w:p>
            <w:pPr>
              <w:spacing w:after="0" w:line="252" w:lineRule="auto"/>
            </w:pPr>
            <w:r>
              <w:rPr>
                <w:sz w:val="18"/>
              </w:rPr>
              <w:t>Teaching and Curriculum</w:t>
            </w:r>
          </w:p>
        </w:tc>
      </w:tr>
      <w:tr>
        <w:tc>
          <w:tcPr>
            <w:tcW w:type="dxa" w:w="1224"/>
            <w:vAlign w:val="center"/>
            <w:tcMar>
              <w:top w:w="100" w:type="dxa"/>
              <w:start w:w="120" w:type="dxa"/>
              <w:bottom w:w="100" w:type="dxa"/>
              <w:end w:w="120" w:type="dxa"/>
            </w:tcMar>
          </w:tcPr>
          <w:p>
            <w:pPr>
              <w:spacing w:after="0" w:line="252" w:lineRule="auto"/>
            </w:pPr>
            <w:r>
              <w:rPr>
                <w:sz w:val="18"/>
              </w:rPr>
              <w:t>9</w:t>
            </w:r>
          </w:p>
        </w:tc>
        <w:tc>
          <w:tcPr>
            <w:tcW w:type="dxa" w:w="8208"/>
            <w:vAlign w:val="center"/>
            <w:tcMar>
              <w:top w:w="100" w:type="dxa"/>
              <w:start w:w="120" w:type="dxa"/>
              <w:bottom w:w="100" w:type="dxa"/>
              <w:end w:w="120" w:type="dxa"/>
            </w:tcMar>
          </w:tcPr>
          <w:p>
            <w:pPr>
              <w:spacing w:after="0" w:line="252" w:lineRule="auto"/>
            </w:pPr>
            <w:r>
              <w:rPr>
                <w:sz w:val="18"/>
              </w:rPr>
              <w:t>Assessment and Progress Communication</w:t>
            </w:r>
          </w:p>
        </w:tc>
      </w:tr>
      <w:tr>
        <w:tc>
          <w:tcPr>
            <w:tcW w:type="dxa" w:w="1224"/>
            <w:vAlign w:val="center"/>
            <w:tcMar>
              <w:top w:w="100" w:type="dxa"/>
              <w:start w:w="120" w:type="dxa"/>
              <w:bottom w:w="100" w:type="dxa"/>
              <w:end w:w="120" w:type="dxa"/>
            </w:tcMar>
            <w:shd w:fill="F3F4F2"/>
          </w:tcPr>
          <w:p>
            <w:pPr>
              <w:spacing w:after="0" w:line="252" w:lineRule="auto"/>
            </w:pPr>
            <w:r>
              <w:rPr>
                <w:sz w:val="18"/>
              </w:rPr>
              <w:t>10</w:t>
            </w:r>
          </w:p>
        </w:tc>
        <w:tc>
          <w:tcPr>
            <w:tcW w:type="dxa" w:w="8208"/>
            <w:vAlign w:val="center"/>
            <w:tcMar>
              <w:top w:w="100" w:type="dxa"/>
              <w:start w:w="120" w:type="dxa"/>
              <w:bottom w:w="100" w:type="dxa"/>
              <w:end w:w="120" w:type="dxa"/>
            </w:tcMar>
            <w:shd w:fill="F3F4F2"/>
          </w:tcPr>
          <w:p>
            <w:pPr>
              <w:spacing w:after="0" w:line="252" w:lineRule="auto"/>
            </w:pPr>
            <w:r>
              <w:rPr>
                <w:sz w:val="18"/>
              </w:rPr>
              <w:t>Learning Environment and Daily Rhythm</w:t>
            </w:r>
          </w:p>
        </w:tc>
      </w:tr>
      <w:tr>
        <w:tc>
          <w:tcPr>
            <w:tcW w:type="dxa" w:w="1224"/>
            <w:vAlign w:val="center"/>
            <w:tcMar>
              <w:top w:w="100" w:type="dxa"/>
              <w:start w:w="120" w:type="dxa"/>
              <w:bottom w:w="100" w:type="dxa"/>
              <w:end w:w="120" w:type="dxa"/>
            </w:tcMar>
          </w:tcPr>
          <w:p>
            <w:pPr>
              <w:spacing w:after="0" w:line="252" w:lineRule="auto"/>
            </w:pPr>
            <w:r>
              <w:rPr>
                <w:sz w:val="18"/>
              </w:rPr>
              <w:t>11</w:t>
            </w:r>
          </w:p>
        </w:tc>
        <w:tc>
          <w:tcPr>
            <w:tcW w:type="dxa" w:w="8208"/>
            <w:vAlign w:val="center"/>
            <w:tcMar>
              <w:top w:w="100" w:type="dxa"/>
              <w:start w:w="120" w:type="dxa"/>
              <w:bottom w:w="100" w:type="dxa"/>
              <w:end w:w="120" w:type="dxa"/>
            </w:tcMar>
          </w:tcPr>
          <w:p>
            <w:pPr>
              <w:spacing w:after="0" w:line="252" w:lineRule="auto"/>
            </w:pPr>
            <w:r>
              <w:rPr>
                <w:sz w:val="18"/>
              </w:rPr>
              <w:t>Family Partnership</w:t>
            </w:r>
          </w:p>
        </w:tc>
      </w:tr>
      <w:tr>
        <w:tc>
          <w:tcPr>
            <w:tcW w:type="dxa" w:w="1224"/>
            <w:vAlign w:val="center"/>
            <w:tcMar>
              <w:top w:w="100" w:type="dxa"/>
              <w:start w:w="120" w:type="dxa"/>
              <w:bottom w:w="100" w:type="dxa"/>
              <w:end w:w="120" w:type="dxa"/>
            </w:tcMar>
            <w:shd w:fill="F3F4F2"/>
          </w:tcPr>
          <w:p>
            <w:pPr>
              <w:spacing w:after="0" w:line="252" w:lineRule="auto"/>
            </w:pPr>
            <w:r>
              <w:rPr>
                <w:sz w:val="18"/>
              </w:rPr>
              <w:t>12</w:t>
            </w:r>
          </w:p>
        </w:tc>
        <w:tc>
          <w:tcPr>
            <w:tcW w:type="dxa" w:w="8208"/>
            <w:vAlign w:val="center"/>
            <w:tcMar>
              <w:top w:w="100" w:type="dxa"/>
              <w:start w:w="120" w:type="dxa"/>
              <w:bottom w:w="100" w:type="dxa"/>
              <w:end w:w="120" w:type="dxa"/>
            </w:tcMar>
            <w:shd w:fill="F3F4F2"/>
          </w:tcPr>
          <w:p>
            <w:pPr>
              <w:spacing w:after="0" w:line="252" w:lineRule="auto"/>
            </w:pPr>
            <w:r>
              <w:rPr>
                <w:sz w:val="18"/>
              </w:rPr>
              <w:t>Student Culture and Community Expectations</w:t>
            </w:r>
          </w:p>
        </w:tc>
      </w:tr>
      <w:tr>
        <w:tc>
          <w:tcPr>
            <w:tcW w:type="dxa" w:w="1224"/>
            <w:vAlign w:val="center"/>
            <w:tcMar>
              <w:top w:w="100" w:type="dxa"/>
              <w:start w:w="120" w:type="dxa"/>
              <w:bottom w:w="100" w:type="dxa"/>
              <w:end w:w="120" w:type="dxa"/>
            </w:tcMar>
          </w:tcPr>
          <w:p>
            <w:pPr>
              <w:spacing w:after="0" w:line="252" w:lineRule="auto"/>
            </w:pPr>
            <w:r>
              <w:rPr>
                <w:sz w:val="18"/>
              </w:rPr>
              <w:t>13</w:t>
            </w:r>
          </w:p>
        </w:tc>
        <w:tc>
          <w:tcPr>
            <w:tcW w:type="dxa" w:w="8208"/>
            <w:vAlign w:val="center"/>
            <w:tcMar>
              <w:top w:w="100" w:type="dxa"/>
              <w:start w:w="120" w:type="dxa"/>
              <w:bottom w:w="100" w:type="dxa"/>
              <w:end w:w="120" w:type="dxa"/>
            </w:tcMar>
          </w:tcPr>
          <w:p>
            <w:pPr>
              <w:spacing w:after="0" w:line="252" w:lineRule="auto"/>
            </w:pPr>
            <w:r>
              <w:rPr>
                <w:sz w:val="18"/>
              </w:rPr>
              <w:t>Inclusion Intervention and Student Support</w:t>
            </w:r>
          </w:p>
        </w:tc>
      </w:tr>
      <w:tr>
        <w:tc>
          <w:tcPr>
            <w:tcW w:type="dxa" w:w="1224"/>
            <w:vAlign w:val="center"/>
            <w:tcMar>
              <w:top w:w="100" w:type="dxa"/>
              <w:start w:w="120" w:type="dxa"/>
              <w:bottom w:w="100" w:type="dxa"/>
              <w:end w:w="120" w:type="dxa"/>
            </w:tcMar>
            <w:shd w:fill="F3F4F2"/>
          </w:tcPr>
          <w:p>
            <w:pPr>
              <w:spacing w:after="0" w:line="252" w:lineRule="auto"/>
            </w:pPr>
            <w:r>
              <w:rPr>
                <w:sz w:val="18"/>
              </w:rPr>
              <w:t>14</w:t>
            </w:r>
          </w:p>
        </w:tc>
        <w:tc>
          <w:tcPr>
            <w:tcW w:type="dxa" w:w="8208"/>
            <w:vAlign w:val="center"/>
            <w:tcMar>
              <w:top w:w="100" w:type="dxa"/>
              <w:start w:w="120" w:type="dxa"/>
              <w:bottom w:w="100" w:type="dxa"/>
              <w:end w:w="120" w:type="dxa"/>
            </w:tcMar>
            <w:shd w:fill="F3F4F2"/>
          </w:tcPr>
          <w:p>
            <w:pPr>
              <w:spacing w:after="0" w:line="252" w:lineRule="auto"/>
            </w:pPr>
            <w:r>
              <w:rPr>
                <w:sz w:val="18"/>
              </w:rPr>
              <w:t>Foundational Family Policies</w:t>
            </w:r>
          </w:p>
        </w:tc>
      </w:tr>
      <w:tr>
        <w:tc>
          <w:tcPr>
            <w:tcW w:type="dxa" w:w="1224"/>
            <w:vAlign w:val="center"/>
            <w:tcMar>
              <w:top w:w="100" w:type="dxa"/>
              <w:start w:w="120" w:type="dxa"/>
              <w:bottom w:w="100" w:type="dxa"/>
              <w:end w:w="120" w:type="dxa"/>
            </w:tcMar>
          </w:tcPr>
          <w:p>
            <w:pPr>
              <w:spacing w:after="0" w:line="252" w:lineRule="auto"/>
            </w:pPr>
            <w:r>
              <w:rPr>
                <w:sz w:val="18"/>
              </w:rPr>
              <w:t>15</w:t>
            </w:r>
          </w:p>
        </w:tc>
        <w:tc>
          <w:tcPr>
            <w:tcW w:type="dxa" w:w="8208"/>
            <w:vAlign w:val="center"/>
            <w:tcMar>
              <w:top w:w="100" w:type="dxa"/>
              <w:start w:w="120" w:type="dxa"/>
              <w:bottom w:w="100" w:type="dxa"/>
              <w:end w:w="120" w:type="dxa"/>
            </w:tcMar>
          </w:tcPr>
          <w:p>
            <w:pPr>
              <w:spacing w:after="0" w:line="252" w:lineRule="auto"/>
            </w:pPr>
            <w:r>
              <w:rPr>
                <w:sz w:val="18"/>
              </w:rPr>
              <w:t>Leadership Growth and Long Term Direction</w:t>
            </w:r>
          </w:p>
        </w:tc>
      </w:tr>
      <w:tr>
        <w:tc>
          <w:tcPr>
            <w:tcW w:type="dxa" w:w="1224"/>
            <w:vAlign w:val="center"/>
            <w:tcMar>
              <w:top w:w="100" w:type="dxa"/>
              <w:start w:w="120" w:type="dxa"/>
              <w:bottom w:w="100" w:type="dxa"/>
              <w:end w:w="120" w:type="dxa"/>
            </w:tcMar>
            <w:shd w:fill="F3F4F2"/>
          </w:tcPr>
          <w:p>
            <w:pPr>
              <w:spacing w:after="0" w:line="252" w:lineRule="auto"/>
            </w:pPr>
            <w:r>
              <w:rPr>
                <w:sz w:val="18"/>
              </w:rPr>
              <w:t>16</w:t>
            </w:r>
          </w:p>
        </w:tc>
        <w:tc>
          <w:tcPr>
            <w:tcW w:type="dxa" w:w="8208"/>
            <w:vAlign w:val="center"/>
            <w:tcMar>
              <w:top w:w="100" w:type="dxa"/>
              <w:start w:w="120" w:type="dxa"/>
              <w:bottom w:w="100" w:type="dxa"/>
              <w:end w:w="120" w:type="dxa"/>
            </w:tcMar>
            <w:shd w:fill="F3F4F2"/>
          </w:tcPr>
          <w:p>
            <w:pPr>
              <w:spacing w:after="0" w:line="252" w:lineRule="auto"/>
            </w:pPr>
            <w:r>
              <w:rPr>
                <w:sz w:val="18"/>
              </w:rPr>
              <w:t>Shared Commitment</w:t>
            </w:r>
          </w:p>
        </w:tc>
      </w:tr>
    </w:tbl>
    <w:p>
      <w:pPr>
        <w:spacing w:after="0"/>
        <w:widowControl/>
      </w:pPr>
    </w:p>
    <w:p>
      <w:pPr>
        <w:widowControl/>
      </w:pPr>
      <w:r>
        <w:br w:type="page"/>
      </w:r>
    </w:p>
    <w:p>
      <w:pPr>
        <w:pStyle w:val="SectionLabel"/>
        <w:widowControl/>
      </w:pPr>
      <w:r>
        <w:t>SECTION 1</w:t>
      </w:r>
    </w:p>
    <w:p>
      <w:pPr>
        <w:pStyle w:val="Heading1"/>
        <w:widowControl/>
      </w:pPr>
      <w:r>
        <w:t>Vision and Mission</w:t>
      </w:r>
    </w:p>
    <w:p>
      <w:pPr>
        <w:pStyle w:val="Heading2"/>
        <w:widowControl/>
      </w:pPr>
      <w:r>
        <w:t>Vision Statement</w:t>
      </w:r>
    </w:p>
    <w:p>
      <w:pPr>
        <w:widowControl/>
      </w:pPr>
      <w:r>
        <w:t>Hands Free Learning envisions a thriving personalized learning community where every child is known, challenged, supported, and free to grow. We are building an educational model in which strong academics, individualized teaching, curiosity, play, character, intervention, enrichment, and family partnership work together rather than compete.</w:t>
      </w:r>
    </w:p>
    <w:p>
      <w:pPr>
        <w:widowControl/>
      </w:pPr>
      <w:r>
        <w:t>Our long-term vision is to become a recognized learning model and, in time, a larger private educational community where children can experience continuity, belonging, and an education designed around who they are and who they are becoming.</w:t>
      </w:r>
    </w:p>
    <w:p>
      <w:pPr>
        <w:pStyle w:val="Heading2"/>
        <w:widowControl/>
      </w:pPr>
      <w:r>
        <w:t>Mission Statement</w:t>
      </w:r>
    </w:p>
    <w:p>
      <w:pPr>
        <w:widowControl/>
      </w:pPr>
      <w:r>
        <w:t>Hands Free Learning partners with families to provide personalized learning experiences for preschool and elementary-age children. Through purposeful instruction, careful assessment, small-group learning, individual support, child-led discovery, enrichment, and strong relationships, we help each child build academic skill, confidence, character, curiosity, and a lasting ownership of learning.</w:t>
      </w:r>
    </w:p>
    <w:p>
      <w:pPr>
        <w:pStyle w:val="Heading2"/>
        <w:widowControl/>
      </w:pPr>
      <w:r>
        <w:t>Our Educational Promise</w:t>
      </w:r>
    </w:p>
    <w:p>
      <w:pPr>
        <w:widowControl/>
      </w:pPr>
      <w:r>
        <w:t>We will seek to know each child well, teach with high expectations, respond to individual needs, communicate honestly with families, and protect space for children to explore, play, create, and belong. We will treat education as a partnership and each learner as a whole person rather than a score, diagnosis, grade level, or behavior.</w:t>
      </w:r>
    </w:p>
    <w:p>
      <w:pPr>
        <w:pStyle w:val="Heading2"/>
        <w:widowControl/>
      </w:pPr>
      <w:r>
        <w:t>What Hands Free Means</w:t>
      </w:r>
    </w:p>
    <w:p>
      <w:pPr>
        <w:widowControl/>
      </w:pPr>
      <w:r>
        <w:t>The name Hands Free reflects partnership. Families remain central to their children’s education, while HFL carries meaningful parts of the planning, teaching, assessment, intervention, and enrichment. Parents gain time and peace because they have a trained educator working alongside them. Children gain consistency, expertise, community, and a learning plan shaped around their needs.</w:t>
      </w:r>
    </w:p>
    <w:p>
      <w:pPr>
        <w:widowControl/>
      </w:pPr>
      <w:r>
        <w:br w:type="page"/>
      </w:r>
    </w:p>
    <w:p>
      <w:pPr>
        <w:pStyle w:val="SectionLabel"/>
        <w:widowControl/>
      </w:pPr>
      <w:r>
        <w:t>SECTION 2</w:t>
      </w:r>
    </w:p>
    <w:p>
      <w:pPr>
        <w:pStyle w:val="Heading1"/>
        <w:widowControl/>
      </w:pPr>
      <w:r>
        <w:t>Identity and Educational Promise</w:t>
      </w:r>
    </w:p>
    <w:p>
      <w:pPr>
        <w:widowControl/>
      </w:pPr>
      <w:r>
        <w:t>Hands Free Learning serves families who want a more personal educational experience. HFL may provide hybrid homeschool support, small-group instruction, one-to-one teaching, academic intervention, enrichment, family consultation, and online learning support. These offerings are connected parts of one educational model.</w:t>
      </w:r>
    </w:p>
    <w:p>
      <w:pPr>
        <w:widowControl/>
      </w:pPr>
      <w:r>
        <w:t>HFL should never be understood only as a tutoring service. Tutoring and intervention may be part of the work, but the larger purpose is to create a stable learning community that develops the whole child and strengthens the family’s ability to make thoughtful educational decisions.</w:t>
      </w:r>
    </w:p>
    <w:p>
      <w:pPr>
        <w:pStyle w:val="Heading2"/>
        <w:widowControl/>
      </w:pPr>
      <w:r>
        <w:t>Who We Serve</w:t>
      </w:r>
    </w:p>
    <w:p>
      <w:pPr>
        <w:pStyle w:val="ListBullet"/>
        <w:widowControl/>
      </w:pPr>
      <w:r>
        <w:t>Preschool and elementary-age children who benefit from a small, responsive learning environment.</w:t>
      </w:r>
    </w:p>
    <w:p>
      <w:pPr>
        <w:pStyle w:val="ListBullet"/>
        <w:widowControl/>
      </w:pPr>
      <w:r>
        <w:t>Homeschool families seeking skilled teaching, structure, enrichment, assessment, or community.</w:t>
      </w:r>
    </w:p>
    <w:p>
      <w:pPr>
        <w:pStyle w:val="ListBullet"/>
        <w:widowControl/>
      </w:pPr>
      <w:r>
        <w:t>Children who need targeted support in phonics, reading, language arts, grammar, writing, mathematics, science, or social studies.</w:t>
      </w:r>
    </w:p>
    <w:p>
      <w:pPr>
        <w:pStyle w:val="ListBullet"/>
        <w:widowControl/>
      </w:pPr>
      <w:r>
        <w:t>Children with learning differences, dyslexia-related needs, special education needs, uneven skill profiles, or gaps that require careful intervention.</w:t>
      </w:r>
    </w:p>
    <w:p>
      <w:pPr>
        <w:pStyle w:val="ListBullet"/>
        <w:widowControl/>
      </w:pPr>
      <w:r>
        <w:t>Advanced and highly curious learners who need greater depth, challenge, choice, or opportunities to pursue meaningful questions.</w:t>
      </w:r>
    </w:p>
    <w:p>
      <w:pPr>
        <w:pStyle w:val="ListBullet"/>
        <w:widowControl/>
      </w:pPr>
      <w:r>
        <w:t>Families who want high expectations without sacrificing flexibility, childhood, relationships, or individual attention.</w:t>
      </w:r>
    </w:p>
    <w:p>
      <w:pPr>
        <w:pStyle w:val="Heading2"/>
        <w:widowControl/>
      </w:pPr>
      <w:r>
        <w:t>What Families Should Experience</w:t>
      </w:r>
    </w:p>
    <w:p>
      <w:pPr>
        <w:pStyle w:val="ListBullet"/>
        <w:widowControl/>
      </w:pPr>
      <w:r>
        <w:rPr>
          <w:b/>
        </w:rPr>
        <w:t xml:space="preserve">Clarity. </w:t>
      </w:r>
      <w:r>
        <w:t>Families understand what their child is learning, why it matters, and what the next steps are.</w:t>
      </w:r>
    </w:p>
    <w:p>
      <w:pPr>
        <w:pStyle w:val="ListBullet"/>
        <w:widowControl/>
      </w:pPr>
      <w:r>
        <w:rPr>
          <w:b/>
        </w:rPr>
        <w:t xml:space="preserve">Partnership. </w:t>
      </w:r>
      <w:r>
        <w:t>Parents are respected as essential members of the child’s learning team.</w:t>
      </w:r>
    </w:p>
    <w:p>
      <w:pPr>
        <w:pStyle w:val="ListBullet"/>
        <w:widowControl/>
      </w:pPr>
      <w:r>
        <w:rPr>
          <w:b/>
        </w:rPr>
        <w:t xml:space="preserve">Personalization. </w:t>
      </w:r>
      <w:r>
        <w:t>Instruction responds to the child’s current skills, learning style, pace, strengths, interests, and support needs.</w:t>
      </w:r>
    </w:p>
    <w:p>
      <w:pPr>
        <w:pStyle w:val="ListBullet"/>
        <w:widowControl/>
      </w:pPr>
      <w:r>
        <w:rPr>
          <w:b/>
        </w:rPr>
        <w:t xml:space="preserve">Belonging. </w:t>
      </w:r>
      <w:r>
        <w:t>Children are known by name, treated with dignity, and welcomed into a peaceful community.</w:t>
      </w:r>
    </w:p>
    <w:p>
      <w:pPr>
        <w:pStyle w:val="ListBullet"/>
        <w:widowControl/>
      </w:pPr>
      <w:r>
        <w:rPr>
          <w:b/>
        </w:rPr>
        <w:t xml:space="preserve">Growth. </w:t>
      </w:r>
      <w:r>
        <w:t>Progress is expected, noticed, documented, and celebrated without reducing the child to a number.</w:t>
      </w:r>
    </w:p>
    <w:p>
      <w:pPr>
        <w:widowControl/>
      </w:pPr>
      <w:r>
        <w:br w:type="page"/>
      </w:r>
    </w:p>
    <w:p>
      <w:pPr>
        <w:pStyle w:val="SectionLabel"/>
        <w:widowControl/>
      </w:pPr>
      <w:r>
        <w:t>SECTION 3</w:t>
      </w:r>
    </w:p>
    <w:p>
      <w:pPr>
        <w:pStyle w:val="Heading1"/>
        <w:widowControl/>
      </w:pPr>
      <w:r>
        <w:t>Educational Philosophy</w:t>
      </w:r>
    </w:p>
    <w:p>
      <w:pPr>
        <w:pStyle w:val="Heading2"/>
        <w:widowControl/>
      </w:pPr>
      <w:r>
        <w:t>The Whole Child Learns</w:t>
      </w:r>
    </w:p>
    <w:p>
      <w:pPr>
        <w:widowControl/>
      </w:pPr>
      <w:r>
        <w:t>Academic performance cannot be separated from a child’s confidence, relationships, sense of safety, curiosity, and willingness to take risks. HFL pays attention to the whole learning picture. When a child struggles, we look carefully at skill gaps, instructional fit, attention, communication, confidence, learning history, and the environment. We do not label ordinary difficulty as laziness or assume that one method should work for every learner.</w:t>
      </w:r>
    </w:p>
    <w:p>
      <w:pPr>
        <w:pStyle w:val="Heading2"/>
        <w:widowControl/>
      </w:pPr>
      <w:r>
        <w:t>High Expectations With Responsive Support</w:t>
      </w:r>
    </w:p>
    <w:p>
      <w:pPr>
        <w:widowControl/>
      </w:pPr>
      <w:r>
        <w:t>HFL believes children are capable of meaningful growth. High expectations are expressed through clear goals, strong instruction, consistent practice, thoughtful feedback, and appropriate challenge. Support is not a lowering of standards. It is the deliberate teaching, scaffolding, repetition, accommodation, and encouragement that help a child reach them.</w:t>
      </w:r>
    </w:p>
    <w:p>
      <w:pPr>
        <w:pStyle w:val="Heading2"/>
        <w:widowControl/>
      </w:pPr>
      <w:r>
        <w:t>Childhood Has Educational Value</w:t>
      </w:r>
    </w:p>
    <w:p>
      <w:pPr>
        <w:widowControl/>
      </w:pPr>
      <w:r>
        <w:t>Play, movement, imagination, conversation, nature, art, music, hands-on work, and social experiences are not distractions from learning. They give young children ways to make meaning, practice skills, build language, solve problems, and develop independence. HFL protects room for these experiences while maintaining academic purpose.</w:t>
      </w:r>
    </w:p>
    <w:p>
      <w:pPr>
        <w:pStyle w:val="Heading2"/>
        <w:widowControl/>
      </w:pPr>
      <w:r>
        <w:t>Curiosity Deepens Learning</w:t>
      </w:r>
    </w:p>
    <w:p>
      <w:pPr>
        <w:widowControl/>
      </w:pPr>
      <w:r>
        <w:t>Children learn more deeply when they are invited to ask questions, investigate, create, explain, present, and connect ideas. HFL combines explicit teaching with student-led discovery. The educator remains responsible for essential knowledge and skill development while making room for children to pursue interests and demonstrate understanding in varied ways.</w:t>
      </w:r>
    </w:p>
    <w:p>
      <w:pPr>
        <w:pStyle w:val="Heading2"/>
        <w:widowControl/>
      </w:pPr>
      <w:r>
        <w:t>Families Are Educational Partners</w:t>
      </w:r>
    </w:p>
    <w:p>
      <w:pPr>
        <w:widowControl/>
      </w:pPr>
      <w:r>
        <w:t>Parents bring knowledge of their child’s history, temperament, values, and life outside the learning space. Educators bring instructional expertise, observation, assessment, and planning. HFL’s strongest work happens when both forms of knowledge are respected and used together.</w:t>
      </w:r>
    </w:p>
    <w:p>
      <w:pPr>
        <w:pStyle w:val="Heading2"/>
        <w:widowControl/>
      </w:pPr>
      <w:r>
        <w:t>Character Is Practiced</w:t>
      </w:r>
    </w:p>
    <w:p>
      <w:pPr>
        <w:widowControl/>
      </w:pPr>
      <w:r>
        <w:t>Character formation is woven into ordinary learning. Children practice honesty, respect, responsibility, kindness, courage, perseverance, self-control, stewardship, and service through their work, relationships, choices, and repair after mistakes. HFL seeks to support families in raising confident, morally grounded children who can relate well to others.</w:t>
      </w:r>
    </w:p>
    <w:p>
      <w:pPr>
        <w:pStyle w:val="SectionLabel"/>
        <w:widowControl/>
      </w:pPr>
      <w:r>
        <w:t>SECTION 4</w:t>
      </w:r>
    </w:p>
    <w:p>
      <w:pPr>
        <w:pStyle w:val="Heading1"/>
        <w:widowControl/>
      </w:pPr>
      <w:r>
        <w:t>Core Commitments</w:t>
      </w:r>
    </w:p>
    <w:p>
      <w:pPr>
        <w:pStyle w:val="Heading2"/>
        <w:widowControl/>
      </w:pPr>
      <w:r>
        <w:t>Individualized Learning</w:t>
      </w:r>
    </w:p>
    <w:p>
      <w:pPr>
        <w:widowControl/>
      </w:pPr>
      <w:r>
        <w:t>We begin with the learner in front of us. Plans, pacing, grouping, materials, and support may differ because children do not all need the same path.</w:t>
      </w:r>
    </w:p>
    <w:p>
      <w:pPr>
        <w:pStyle w:val="Heading2"/>
        <w:widowControl/>
      </w:pPr>
      <w:r>
        <w:t>Student Led Discovery</w:t>
      </w:r>
    </w:p>
    <w:p>
      <w:pPr>
        <w:widowControl/>
      </w:pPr>
      <w:r>
        <w:t>Children have meaningful opportunities to ask questions, make choices, investigate interests, create work, and share what they have learned.</w:t>
      </w:r>
    </w:p>
    <w:p>
      <w:pPr>
        <w:pStyle w:val="Heading2"/>
        <w:widowControl/>
      </w:pPr>
      <w:r>
        <w:t>Differentiated Instruction</w:t>
      </w:r>
    </w:p>
    <w:p>
      <w:pPr>
        <w:widowControl/>
      </w:pPr>
      <w:r>
        <w:t>Educators adjust content, process, practice, support, and demonstration of learning while protecting important goals.</w:t>
      </w:r>
    </w:p>
    <w:p>
      <w:pPr>
        <w:pStyle w:val="Heading2"/>
        <w:widowControl/>
      </w:pPr>
      <w:r>
        <w:t>Targeted Intervention</w:t>
      </w:r>
    </w:p>
    <w:p>
      <w:pPr>
        <w:widowControl/>
      </w:pPr>
      <w:r>
        <w:t>Specific gaps are identified and taught directly through focused, evidence-informed instruction and regular progress checks.</w:t>
      </w:r>
    </w:p>
    <w:p>
      <w:pPr>
        <w:pStyle w:val="Heading2"/>
        <w:widowControl/>
      </w:pPr>
      <w:r>
        <w:t>Character Formation</w:t>
      </w:r>
    </w:p>
    <w:p>
      <w:pPr>
        <w:widowControl/>
      </w:pPr>
      <w:r>
        <w:t>Respect, responsibility, kindness, perseverance, self-control, and integrity are taught through the daily life of the community.</w:t>
      </w:r>
    </w:p>
    <w:p>
      <w:pPr>
        <w:pStyle w:val="Heading2"/>
        <w:widowControl/>
      </w:pPr>
      <w:r>
        <w:t>Enrichment and Community</w:t>
      </w:r>
    </w:p>
    <w:p>
      <w:pPr>
        <w:widowControl/>
      </w:pPr>
      <w:r>
        <w:t>Learning extends through art, nature, science experiences, field trips, movement, music, presentations, community events, and relationships.</w:t>
      </w:r>
    </w:p>
    <w:p>
      <w:pPr>
        <w:widowControl/>
      </w:pPr>
      <w:r>
        <w:br w:type="page"/>
      </w:r>
    </w:p>
    <w:p>
      <w:pPr>
        <w:pStyle w:val="SectionLabel"/>
        <w:widowControl/>
      </w:pPr>
      <w:r>
        <w:t>SECTION 5</w:t>
      </w:r>
    </w:p>
    <w:p>
      <w:pPr>
        <w:pStyle w:val="Heading1"/>
        <w:widowControl/>
      </w:pPr>
      <w:r>
        <w:t>The Hands Free Learning Model</w:t>
      </w:r>
    </w:p>
    <w:p>
      <w:pPr>
        <w:widowControl/>
      </w:pPr>
      <w:r>
        <w:t>The HFL model combines shared instruction with individualized support. Children benefit from belonging to a group while receiving the focused attention needed to make progress. A learning block may include a short group lesson, guided practice, individual intervention, independent or collaborative work, play-based learning, and a chance to explain or present understanding.</w:t>
      </w:r>
    </w:p>
    <w:p>
      <w:pPr>
        <w:pStyle w:val="Heading2"/>
        <w:widowControl/>
      </w:pPr>
      <w:r>
        <w:t>The Learning Cycle</w:t>
      </w:r>
    </w:p>
    <w:tbl>
      <w:tblPr>
        <w:tblW w:type="auto" w:w="0"/>
        <w:jc w:val="center"/>
        <w:tblLayout w:type="fixed"/>
        <w:tblLook w:firstColumn="1" w:firstRow="1" w:lastColumn="0" w:lastRow="0" w:noHBand="0" w:noVBand="1" w:val="04A0"/>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Pr>
      <w:tblGrid>
        <w:gridCol w:w="4939"/>
        <w:gridCol w:w="4939"/>
      </w:tblGrid>
      <w:tr>
        <w:trPr>
          <w:tblHeader w:val="true"/>
        </w:trPr>
        <w:tc>
          <w:tcPr>
            <w:tcW w:type="dxa" w:w="2232"/>
            <w:vAlign w:val="center"/>
            <w:shd w:fill="30383A"/>
            <w:tcMar>
              <w:top w:w="100" w:type="dxa"/>
              <w:start w:w="120" w:type="dxa"/>
              <w:bottom w:w="100" w:type="dxa"/>
              <w:end w:w="120" w:type="dxa"/>
            </w:tcMar>
          </w:tcPr>
          <w:p>
            <w:pPr>
              <w:spacing w:after="0"/>
              <w:jc w:val="left"/>
            </w:pPr>
            <w:r>
              <w:rPr>
                <w:b/>
                <w:color w:val="FFFFFF"/>
                <w:sz w:val="19"/>
              </w:rPr>
              <w:t>Stage</w:t>
            </w:r>
          </w:p>
        </w:tc>
        <w:tc>
          <w:tcPr>
            <w:tcW w:type="dxa" w:w="7200"/>
            <w:vAlign w:val="center"/>
            <w:shd w:fill="30383A"/>
            <w:tcMar>
              <w:top w:w="100" w:type="dxa"/>
              <w:start w:w="120" w:type="dxa"/>
              <w:bottom w:w="100" w:type="dxa"/>
              <w:end w:w="120" w:type="dxa"/>
            </w:tcMar>
          </w:tcPr>
          <w:p>
            <w:pPr>
              <w:spacing w:after="0"/>
              <w:jc w:val="left"/>
            </w:pPr>
            <w:r>
              <w:rPr>
                <w:b/>
                <w:color w:val="FFFFFF"/>
                <w:sz w:val="19"/>
              </w:rPr>
              <w:t>What It Means</w:t>
            </w:r>
          </w:p>
        </w:tc>
      </w:tr>
      <w:tr>
        <w:tc>
          <w:tcPr>
            <w:tcW w:type="dxa" w:w="2232"/>
            <w:vAlign w:val="center"/>
            <w:tcMar>
              <w:top w:w="100" w:type="dxa"/>
              <w:start w:w="120" w:type="dxa"/>
              <w:bottom w:w="100" w:type="dxa"/>
              <w:end w:w="120" w:type="dxa"/>
            </w:tcMar>
          </w:tcPr>
          <w:p>
            <w:pPr>
              <w:spacing w:after="0" w:line="252" w:lineRule="auto"/>
            </w:pPr>
            <w:r>
              <w:rPr>
                <w:sz w:val="18"/>
              </w:rPr>
              <w:t>1  Know the Child</w:t>
            </w:r>
          </w:p>
        </w:tc>
        <w:tc>
          <w:tcPr>
            <w:tcW w:type="dxa" w:w="7200"/>
            <w:vAlign w:val="center"/>
            <w:tcMar>
              <w:top w:w="100" w:type="dxa"/>
              <w:start w:w="120" w:type="dxa"/>
              <w:bottom w:w="100" w:type="dxa"/>
              <w:end w:w="120" w:type="dxa"/>
            </w:tcMar>
          </w:tcPr>
          <w:p>
            <w:pPr>
              <w:spacing w:after="0" w:line="252" w:lineRule="auto"/>
            </w:pPr>
            <w:r>
              <w:rPr>
                <w:sz w:val="18"/>
              </w:rPr>
              <w:t>Build trust and understand the learner’s history, strengths, needs, interests, and family priorities.</w:t>
            </w:r>
          </w:p>
        </w:tc>
      </w:tr>
      <w:tr>
        <w:tc>
          <w:tcPr>
            <w:tcW w:type="dxa" w:w="2232"/>
            <w:vAlign w:val="center"/>
            <w:tcMar>
              <w:top w:w="100" w:type="dxa"/>
              <w:start w:w="120" w:type="dxa"/>
              <w:bottom w:w="100" w:type="dxa"/>
              <w:end w:w="120" w:type="dxa"/>
            </w:tcMar>
            <w:shd w:fill="F3F4F2"/>
          </w:tcPr>
          <w:p>
            <w:pPr>
              <w:spacing w:after="0" w:line="252" w:lineRule="auto"/>
            </w:pPr>
            <w:r>
              <w:rPr>
                <w:sz w:val="18"/>
              </w:rPr>
              <w:t>2  Identify the Starting Point</w:t>
            </w:r>
          </w:p>
        </w:tc>
        <w:tc>
          <w:tcPr>
            <w:tcW w:type="dxa" w:w="7200"/>
            <w:vAlign w:val="center"/>
            <w:tcMar>
              <w:top w:w="100" w:type="dxa"/>
              <w:start w:w="120" w:type="dxa"/>
              <w:bottom w:w="100" w:type="dxa"/>
              <w:end w:w="120" w:type="dxa"/>
            </w:tcMar>
            <w:shd w:fill="F3F4F2"/>
          </w:tcPr>
          <w:p>
            <w:pPr>
              <w:spacing w:after="0" w:line="252" w:lineRule="auto"/>
            </w:pPr>
            <w:r>
              <w:rPr>
                <w:sz w:val="18"/>
              </w:rPr>
              <w:t>Use conversation, observation, work samples, records, and diagnostic tasks to identify current skills and important gaps.</w:t>
            </w:r>
          </w:p>
        </w:tc>
      </w:tr>
      <w:tr>
        <w:tc>
          <w:tcPr>
            <w:tcW w:type="dxa" w:w="2232"/>
            <w:vAlign w:val="center"/>
            <w:tcMar>
              <w:top w:w="100" w:type="dxa"/>
              <w:start w:w="120" w:type="dxa"/>
              <w:bottom w:w="100" w:type="dxa"/>
              <w:end w:w="120" w:type="dxa"/>
            </w:tcMar>
          </w:tcPr>
          <w:p>
            <w:pPr>
              <w:spacing w:after="0" w:line="252" w:lineRule="auto"/>
            </w:pPr>
            <w:r>
              <w:rPr>
                <w:sz w:val="18"/>
              </w:rPr>
              <w:t>3  Set Clear Goals</w:t>
            </w:r>
          </w:p>
        </w:tc>
        <w:tc>
          <w:tcPr>
            <w:tcW w:type="dxa" w:w="7200"/>
            <w:vAlign w:val="center"/>
            <w:tcMar>
              <w:top w:w="100" w:type="dxa"/>
              <w:start w:w="120" w:type="dxa"/>
              <w:bottom w:w="100" w:type="dxa"/>
              <w:end w:w="120" w:type="dxa"/>
            </w:tcMar>
          </w:tcPr>
          <w:p>
            <w:pPr>
              <w:spacing w:after="0" w:line="252" w:lineRule="auto"/>
            </w:pPr>
            <w:r>
              <w:rPr>
                <w:sz w:val="18"/>
              </w:rPr>
              <w:t>Choose a small number of meaningful academic, learning-behavior, and development goals that can guide instruction.</w:t>
            </w:r>
          </w:p>
        </w:tc>
      </w:tr>
      <w:tr>
        <w:tc>
          <w:tcPr>
            <w:tcW w:type="dxa" w:w="2232"/>
            <w:vAlign w:val="center"/>
            <w:tcMar>
              <w:top w:w="100" w:type="dxa"/>
              <w:start w:w="120" w:type="dxa"/>
              <w:bottom w:w="100" w:type="dxa"/>
              <w:end w:w="120" w:type="dxa"/>
            </w:tcMar>
            <w:shd w:fill="F3F4F2"/>
          </w:tcPr>
          <w:p>
            <w:pPr>
              <w:spacing w:after="0" w:line="252" w:lineRule="auto"/>
            </w:pPr>
            <w:r>
              <w:rPr>
                <w:sz w:val="18"/>
              </w:rPr>
              <w:t>4  Teach Responsively</w:t>
            </w:r>
          </w:p>
        </w:tc>
        <w:tc>
          <w:tcPr>
            <w:tcW w:type="dxa" w:w="7200"/>
            <w:vAlign w:val="center"/>
            <w:tcMar>
              <w:top w:w="100" w:type="dxa"/>
              <w:start w:w="120" w:type="dxa"/>
              <w:bottom w:w="100" w:type="dxa"/>
              <w:end w:w="120" w:type="dxa"/>
            </w:tcMar>
            <w:shd w:fill="F3F4F2"/>
          </w:tcPr>
          <w:p>
            <w:pPr>
              <w:spacing w:after="0" w:line="252" w:lineRule="auto"/>
            </w:pPr>
            <w:r>
              <w:rPr>
                <w:sz w:val="18"/>
              </w:rPr>
              <w:t>Use explicit instruction, discussion, modeling, guided practice, hands-on work, play, choice, and targeted intervention.</w:t>
            </w:r>
          </w:p>
        </w:tc>
      </w:tr>
      <w:tr>
        <w:tc>
          <w:tcPr>
            <w:tcW w:type="dxa" w:w="2232"/>
            <w:vAlign w:val="center"/>
            <w:tcMar>
              <w:top w:w="100" w:type="dxa"/>
              <w:start w:w="120" w:type="dxa"/>
              <w:bottom w:w="100" w:type="dxa"/>
              <w:end w:w="120" w:type="dxa"/>
            </w:tcMar>
          </w:tcPr>
          <w:p>
            <w:pPr>
              <w:spacing w:after="0" w:line="252" w:lineRule="auto"/>
            </w:pPr>
            <w:r>
              <w:rPr>
                <w:sz w:val="18"/>
              </w:rPr>
              <w:t>5  Check Progress</w:t>
            </w:r>
          </w:p>
        </w:tc>
        <w:tc>
          <w:tcPr>
            <w:tcW w:type="dxa" w:w="7200"/>
            <w:vAlign w:val="center"/>
            <w:tcMar>
              <w:top w:w="100" w:type="dxa"/>
              <w:start w:w="120" w:type="dxa"/>
              <w:bottom w:w="100" w:type="dxa"/>
              <w:end w:w="120" w:type="dxa"/>
            </w:tcMar>
          </w:tcPr>
          <w:p>
            <w:pPr>
              <w:spacing w:after="0" w:line="252" w:lineRule="auto"/>
            </w:pPr>
            <w:r>
              <w:rPr>
                <w:sz w:val="18"/>
              </w:rPr>
              <w:t>Observe performance, review work, use brief assessments, and note whether the child can apply learning with growing independence.</w:t>
            </w:r>
          </w:p>
        </w:tc>
      </w:tr>
      <w:tr>
        <w:tc>
          <w:tcPr>
            <w:tcW w:type="dxa" w:w="2232"/>
            <w:vAlign w:val="center"/>
            <w:tcMar>
              <w:top w:w="100" w:type="dxa"/>
              <w:start w:w="120" w:type="dxa"/>
              <w:bottom w:w="100" w:type="dxa"/>
              <w:end w:w="120" w:type="dxa"/>
            </w:tcMar>
            <w:shd w:fill="F3F4F2"/>
          </w:tcPr>
          <w:p>
            <w:pPr>
              <w:spacing w:after="0" w:line="252" w:lineRule="auto"/>
            </w:pPr>
            <w:r>
              <w:rPr>
                <w:sz w:val="18"/>
              </w:rPr>
              <w:t>6  Adjust and Communicate</w:t>
            </w:r>
          </w:p>
        </w:tc>
        <w:tc>
          <w:tcPr>
            <w:tcW w:type="dxa" w:w="7200"/>
            <w:vAlign w:val="center"/>
            <w:tcMar>
              <w:top w:w="100" w:type="dxa"/>
              <w:start w:w="120" w:type="dxa"/>
              <w:bottom w:w="100" w:type="dxa"/>
              <w:end w:w="120" w:type="dxa"/>
            </w:tcMar>
            <w:shd w:fill="F3F4F2"/>
          </w:tcPr>
          <w:p>
            <w:pPr>
              <w:spacing w:after="0" w:line="252" w:lineRule="auto"/>
            </w:pPr>
            <w:r>
              <w:rPr>
                <w:sz w:val="18"/>
              </w:rPr>
              <w:t>Change the plan when needed and share useful progress information with the family.</w:t>
            </w:r>
          </w:p>
        </w:tc>
      </w:tr>
      <w:tr>
        <w:tc>
          <w:tcPr>
            <w:tcW w:type="dxa" w:w="2232"/>
            <w:vAlign w:val="center"/>
            <w:tcMar>
              <w:top w:w="100" w:type="dxa"/>
              <w:start w:w="120" w:type="dxa"/>
              <w:bottom w:w="100" w:type="dxa"/>
              <w:end w:w="120" w:type="dxa"/>
            </w:tcMar>
          </w:tcPr>
          <w:p>
            <w:pPr>
              <w:spacing w:after="0" w:line="252" w:lineRule="auto"/>
            </w:pPr>
            <w:r>
              <w:rPr>
                <w:sz w:val="18"/>
              </w:rPr>
              <w:t>7  Reflect and Extend</w:t>
            </w:r>
          </w:p>
        </w:tc>
        <w:tc>
          <w:tcPr>
            <w:tcW w:type="dxa" w:w="7200"/>
            <w:vAlign w:val="center"/>
            <w:tcMar>
              <w:top w:w="100" w:type="dxa"/>
              <w:start w:w="120" w:type="dxa"/>
              <w:bottom w:w="100" w:type="dxa"/>
              <w:end w:w="120" w:type="dxa"/>
            </w:tcMar>
          </w:tcPr>
          <w:p>
            <w:pPr>
              <w:spacing w:after="0" w:line="252" w:lineRule="auto"/>
            </w:pPr>
            <w:r>
              <w:rPr>
                <w:sz w:val="18"/>
              </w:rPr>
              <w:t>Help the child recognize growth, name strategies, present learning, and move toward the next challenge.</w:t>
            </w:r>
          </w:p>
        </w:tc>
      </w:tr>
    </w:tbl>
    <w:p>
      <w:pPr>
        <w:spacing w:after="0"/>
        <w:widowControl/>
      </w:pPr>
    </w:p>
    <w:p>
      <w:pPr>
        <w:pStyle w:val="Heading2"/>
        <w:widowControl/>
      </w:pPr>
      <w:r>
        <w:t>Balanced Learning Experiences</w:t>
      </w:r>
    </w:p>
    <w:p>
      <w:pPr>
        <w:pStyle w:val="ListBullet"/>
        <w:widowControl/>
      </w:pPr>
      <w:r>
        <w:t>Direct teaching of essential knowledge and skills.</w:t>
      </w:r>
    </w:p>
    <w:p>
      <w:pPr>
        <w:pStyle w:val="ListBullet"/>
        <w:widowControl/>
      </w:pPr>
      <w:r>
        <w:t>Small-group discussion and collaborative learning.</w:t>
      </w:r>
    </w:p>
    <w:p>
      <w:pPr>
        <w:pStyle w:val="ListBullet"/>
        <w:widowControl/>
      </w:pPr>
      <w:r>
        <w:t>One-to-one intervention or conferencing.</w:t>
      </w:r>
    </w:p>
    <w:p>
      <w:pPr>
        <w:pStyle w:val="ListBullet"/>
        <w:widowControl/>
      </w:pPr>
      <w:r>
        <w:t>Hands-on investigations, projects, and learning centers.</w:t>
      </w:r>
    </w:p>
    <w:p>
      <w:pPr>
        <w:pStyle w:val="ListBullet"/>
        <w:widowControl/>
      </w:pPr>
      <w:r>
        <w:t>Independent practice at an appropriate level.</w:t>
      </w:r>
    </w:p>
    <w:p>
      <w:pPr>
        <w:pStyle w:val="ListBullet"/>
        <w:widowControl/>
      </w:pPr>
      <w:r>
        <w:t>Movement, play, outdoor learning, and creative expression.</w:t>
      </w:r>
    </w:p>
    <w:p>
      <w:pPr>
        <w:pStyle w:val="ListBullet"/>
        <w:widowControl/>
      </w:pPr>
      <w:r>
        <w:t>Reflection, presentation, and celebration of growth.</w:t>
      </w:r>
    </w:p>
    <w:p>
      <w:pPr>
        <w:widowControl/>
      </w:pPr>
      <w:r>
        <w:br w:type="page"/>
      </w:r>
    </w:p>
    <w:p>
      <w:pPr>
        <w:pStyle w:val="SectionLabel"/>
        <w:widowControl/>
      </w:pPr>
      <w:r>
        <w:t>SECTION 6</w:t>
      </w:r>
    </w:p>
    <w:p>
      <w:pPr>
        <w:pStyle w:val="Heading1"/>
        <w:widowControl/>
      </w:pPr>
      <w:r>
        <w:t>Programs and Learning Pathways</w:t>
      </w:r>
    </w:p>
    <w:p>
      <w:pPr>
        <w:widowControl/>
      </w:pPr>
      <w:r>
        <w:t>Programs are designed as flexible pathways within one educational community. Placement depends on the child’s age, current learning needs, family goals, schedule, group fit, and available space. A family may use one pathway or combine services when appropriate.</w:t>
      </w:r>
    </w:p>
    <w:tbl>
      <w:tblPr>
        <w:tblW w:type="auto" w:w="0"/>
        <w:jc w:val="center"/>
        <w:tblLayout w:type="fixed"/>
        <w:tblLook w:firstColumn="1" w:firstRow="1" w:lastColumn="0" w:lastRow="0" w:noHBand="0" w:noVBand="1" w:val="04A0"/>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Pr>
      <w:tblGrid>
        <w:gridCol w:w="4939"/>
        <w:gridCol w:w="4939"/>
      </w:tblGrid>
      <w:tr>
        <w:trPr>
          <w:tblHeader w:val="true"/>
        </w:trPr>
        <w:tc>
          <w:tcPr>
            <w:tcW w:type="dxa" w:w="2952"/>
            <w:vAlign w:val="center"/>
            <w:shd w:fill="30383A"/>
            <w:tcMar>
              <w:top w:w="100" w:type="dxa"/>
              <w:start w:w="120" w:type="dxa"/>
              <w:bottom w:w="100" w:type="dxa"/>
              <w:end w:w="120" w:type="dxa"/>
            </w:tcMar>
          </w:tcPr>
          <w:p>
            <w:pPr>
              <w:spacing w:after="0"/>
              <w:jc w:val="left"/>
            </w:pPr>
            <w:r>
              <w:rPr>
                <w:b/>
                <w:color w:val="FFFFFF"/>
                <w:sz w:val="19"/>
              </w:rPr>
              <w:t>Learning Pathway</w:t>
            </w:r>
          </w:p>
        </w:tc>
        <w:tc>
          <w:tcPr>
            <w:tcW w:type="dxa" w:w="6480"/>
            <w:vAlign w:val="center"/>
            <w:shd w:fill="30383A"/>
            <w:tcMar>
              <w:top w:w="100" w:type="dxa"/>
              <w:start w:w="120" w:type="dxa"/>
              <w:bottom w:w="100" w:type="dxa"/>
              <w:end w:w="120" w:type="dxa"/>
            </w:tcMar>
          </w:tcPr>
          <w:p>
            <w:pPr>
              <w:spacing w:after="0"/>
              <w:jc w:val="left"/>
            </w:pPr>
            <w:r>
              <w:rPr>
                <w:b/>
                <w:color w:val="FFFFFF"/>
                <w:sz w:val="19"/>
              </w:rPr>
              <w:t>Primary Purpose</w:t>
            </w:r>
          </w:p>
        </w:tc>
      </w:tr>
      <w:tr>
        <w:tc>
          <w:tcPr>
            <w:tcW w:type="dxa" w:w="2952"/>
            <w:vAlign w:val="center"/>
            <w:tcMar>
              <w:top w:w="100" w:type="dxa"/>
              <w:start w:w="120" w:type="dxa"/>
              <w:bottom w:w="100" w:type="dxa"/>
              <w:end w:w="120" w:type="dxa"/>
            </w:tcMar>
          </w:tcPr>
          <w:p>
            <w:pPr>
              <w:spacing w:after="0" w:line="252" w:lineRule="auto"/>
            </w:pPr>
            <w:r>
              <w:rPr>
                <w:sz w:val="18"/>
              </w:rPr>
              <w:t>Hybrid Homeschool Learning</w:t>
            </w:r>
          </w:p>
        </w:tc>
        <w:tc>
          <w:tcPr>
            <w:tcW w:type="dxa" w:w="6480"/>
            <w:vAlign w:val="center"/>
            <w:tcMar>
              <w:top w:w="100" w:type="dxa"/>
              <w:start w:w="120" w:type="dxa"/>
              <w:bottom w:w="100" w:type="dxa"/>
              <w:end w:w="120" w:type="dxa"/>
            </w:tcMar>
          </w:tcPr>
          <w:p>
            <w:pPr>
              <w:spacing w:after="0" w:line="252" w:lineRule="auto"/>
            </w:pPr>
            <w:r>
              <w:rPr>
                <w:sz w:val="18"/>
              </w:rPr>
              <w:t>Small-group learning blocks that provide academic instruction, guided practice, enrichment, community, and support for the family’s homeschool plan.</w:t>
            </w:r>
          </w:p>
        </w:tc>
      </w:tr>
      <w:tr>
        <w:tc>
          <w:tcPr>
            <w:tcW w:type="dxa" w:w="2952"/>
            <w:vAlign w:val="center"/>
            <w:tcMar>
              <w:top w:w="100" w:type="dxa"/>
              <w:start w:w="120" w:type="dxa"/>
              <w:bottom w:w="100" w:type="dxa"/>
              <w:end w:w="120" w:type="dxa"/>
            </w:tcMar>
            <w:shd w:fill="F3F4F2"/>
          </w:tcPr>
          <w:p>
            <w:pPr>
              <w:spacing w:after="0" w:line="252" w:lineRule="auto"/>
            </w:pPr>
            <w:r>
              <w:rPr>
                <w:sz w:val="18"/>
              </w:rPr>
              <w:t>Personalized Academic Support</w:t>
            </w:r>
          </w:p>
        </w:tc>
        <w:tc>
          <w:tcPr>
            <w:tcW w:type="dxa" w:w="6480"/>
            <w:vAlign w:val="center"/>
            <w:tcMar>
              <w:top w:w="100" w:type="dxa"/>
              <w:start w:w="120" w:type="dxa"/>
              <w:bottom w:w="100" w:type="dxa"/>
              <w:end w:w="120" w:type="dxa"/>
            </w:tcMar>
            <w:shd w:fill="F3F4F2"/>
          </w:tcPr>
          <w:p>
            <w:pPr>
              <w:spacing w:after="0" w:line="252" w:lineRule="auto"/>
            </w:pPr>
            <w:r>
              <w:rPr>
                <w:sz w:val="18"/>
              </w:rPr>
              <w:t>Focused individual or small-group teaching in areas such as phonics, reading, writing, grammar, mathematics, science, and social studies.</w:t>
            </w:r>
          </w:p>
        </w:tc>
      </w:tr>
      <w:tr>
        <w:tc>
          <w:tcPr>
            <w:tcW w:type="dxa" w:w="2952"/>
            <w:vAlign w:val="center"/>
            <w:tcMar>
              <w:top w:w="100" w:type="dxa"/>
              <w:start w:w="120" w:type="dxa"/>
              <w:bottom w:w="100" w:type="dxa"/>
              <w:end w:w="120" w:type="dxa"/>
            </w:tcMar>
          </w:tcPr>
          <w:p>
            <w:pPr>
              <w:spacing w:after="0" w:line="252" w:lineRule="auto"/>
            </w:pPr>
            <w:r>
              <w:rPr>
                <w:sz w:val="18"/>
              </w:rPr>
              <w:t>Targeted Intervention</w:t>
            </w:r>
          </w:p>
        </w:tc>
        <w:tc>
          <w:tcPr>
            <w:tcW w:type="dxa" w:w="6480"/>
            <w:vAlign w:val="center"/>
            <w:tcMar>
              <w:top w:w="100" w:type="dxa"/>
              <w:start w:w="120" w:type="dxa"/>
              <w:bottom w:w="100" w:type="dxa"/>
              <w:end w:w="120" w:type="dxa"/>
            </w:tcMar>
          </w:tcPr>
          <w:p>
            <w:pPr>
              <w:spacing w:after="0" w:line="252" w:lineRule="auto"/>
            </w:pPr>
            <w:r>
              <w:rPr>
                <w:sz w:val="18"/>
              </w:rPr>
              <w:t>Planned instruction for specific skill gaps, including support for learners with dyslexia-related needs, special education needs, or persistent academic difficulty.</w:t>
            </w:r>
          </w:p>
        </w:tc>
      </w:tr>
      <w:tr>
        <w:tc>
          <w:tcPr>
            <w:tcW w:type="dxa" w:w="2952"/>
            <w:vAlign w:val="center"/>
            <w:tcMar>
              <w:top w:w="100" w:type="dxa"/>
              <w:start w:w="120" w:type="dxa"/>
              <w:bottom w:w="100" w:type="dxa"/>
              <w:end w:w="120" w:type="dxa"/>
            </w:tcMar>
            <w:shd w:fill="F3F4F2"/>
          </w:tcPr>
          <w:p>
            <w:pPr>
              <w:spacing w:after="0" w:line="252" w:lineRule="auto"/>
            </w:pPr>
            <w:r>
              <w:rPr>
                <w:sz w:val="18"/>
              </w:rPr>
              <w:t>Advanced Learning and Enrichment</w:t>
            </w:r>
          </w:p>
        </w:tc>
        <w:tc>
          <w:tcPr>
            <w:tcW w:type="dxa" w:w="6480"/>
            <w:vAlign w:val="center"/>
            <w:tcMar>
              <w:top w:w="100" w:type="dxa"/>
              <w:start w:w="120" w:type="dxa"/>
              <w:bottom w:w="100" w:type="dxa"/>
              <w:end w:w="120" w:type="dxa"/>
            </w:tcMar>
            <w:shd w:fill="F3F4F2"/>
          </w:tcPr>
          <w:p>
            <w:pPr>
              <w:spacing w:after="0" w:line="252" w:lineRule="auto"/>
            </w:pPr>
            <w:r>
              <w:rPr>
                <w:sz w:val="18"/>
              </w:rPr>
              <w:t>Greater depth, creative challenges, inquiry, projects, presentations, and interest-led work for students ready to extend beyond standard practice.</w:t>
            </w:r>
          </w:p>
        </w:tc>
      </w:tr>
      <w:tr>
        <w:tc>
          <w:tcPr>
            <w:tcW w:type="dxa" w:w="2952"/>
            <w:vAlign w:val="center"/>
            <w:tcMar>
              <w:top w:w="100" w:type="dxa"/>
              <w:start w:w="120" w:type="dxa"/>
              <w:bottom w:w="100" w:type="dxa"/>
              <w:end w:w="120" w:type="dxa"/>
            </w:tcMar>
          </w:tcPr>
          <w:p>
            <w:pPr>
              <w:spacing w:after="0" w:line="252" w:lineRule="auto"/>
            </w:pPr>
            <w:r>
              <w:rPr>
                <w:sz w:val="18"/>
              </w:rPr>
              <w:t>Early Learning Experiences</w:t>
            </w:r>
          </w:p>
        </w:tc>
        <w:tc>
          <w:tcPr>
            <w:tcW w:type="dxa" w:w="6480"/>
            <w:vAlign w:val="center"/>
            <w:tcMar>
              <w:top w:w="100" w:type="dxa"/>
              <w:start w:w="120" w:type="dxa"/>
              <w:bottom w:w="100" w:type="dxa"/>
              <w:end w:w="120" w:type="dxa"/>
            </w:tcMar>
          </w:tcPr>
          <w:p>
            <w:pPr>
              <w:spacing w:after="0" w:line="252" w:lineRule="auto"/>
            </w:pPr>
            <w:r>
              <w:rPr>
                <w:sz w:val="18"/>
              </w:rPr>
              <w:t>Developmentally appropriate learning for younger children through language-rich play, routines, movement, stories, sensory experiences, and early academic foundations.</w:t>
            </w:r>
          </w:p>
        </w:tc>
      </w:tr>
      <w:tr>
        <w:tc>
          <w:tcPr>
            <w:tcW w:type="dxa" w:w="2952"/>
            <w:vAlign w:val="center"/>
            <w:tcMar>
              <w:top w:w="100" w:type="dxa"/>
              <w:start w:w="120" w:type="dxa"/>
              <w:bottom w:w="100" w:type="dxa"/>
              <w:end w:w="120" w:type="dxa"/>
            </w:tcMar>
            <w:shd w:fill="F3F4F2"/>
          </w:tcPr>
          <w:p>
            <w:pPr>
              <w:spacing w:after="0" w:line="252" w:lineRule="auto"/>
            </w:pPr>
            <w:r>
              <w:rPr>
                <w:sz w:val="18"/>
              </w:rPr>
              <w:t>Family Consultation and Planning</w:t>
            </w:r>
          </w:p>
        </w:tc>
        <w:tc>
          <w:tcPr>
            <w:tcW w:type="dxa" w:w="6480"/>
            <w:vAlign w:val="center"/>
            <w:tcMar>
              <w:top w:w="100" w:type="dxa"/>
              <w:start w:w="120" w:type="dxa"/>
              <w:bottom w:w="100" w:type="dxa"/>
              <w:end w:w="120" w:type="dxa"/>
            </w:tcMar>
            <w:shd w:fill="F3F4F2"/>
          </w:tcPr>
          <w:p>
            <w:pPr>
              <w:spacing w:after="0" w:line="252" w:lineRule="auto"/>
            </w:pPr>
            <w:r>
              <w:rPr>
                <w:sz w:val="18"/>
              </w:rPr>
              <w:t>Educational conversations, record review, goal setting, curriculum guidance, and coordinated planning for families who need a clearer path.</w:t>
            </w:r>
          </w:p>
        </w:tc>
      </w:tr>
      <w:tr>
        <w:tc>
          <w:tcPr>
            <w:tcW w:type="dxa" w:w="2952"/>
            <w:vAlign w:val="center"/>
            <w:tcMar>
              <w:top w:w="100" w:type="dxa"/>
              <w:start w:w="120" w:type="dxa"/>
              <w:bottom w:w="100" w:type="dxa"/>
              <w:end w:w="120" w:type="dxa"/>
            </w:tcMar>
          </w:tcPr>
          <w:p>
            <w:pPr>
              <w:spacing w:after="0" w:line="252" w:lineRule="auto"/>
            </w:pPr>
            <w:r>
              <w:rPr>
                <w:sz w:val="18"/>
              </w:rPr>
              <w:t>Online Learning Support</w:t>
            </w:r>
          </w:p>
        </w:tc>
        <w:tc>
          <w:tcPr>
            <w:tcW w:type="dxa" w:w="6480"/>
            <w:vAlign w:val="center"/>
            <w:tcMar>
              <w:top w:w="100" w:type="dxa"/>
              <w:start w:w="120" w:type="dxa"/>
              <w:bottom w:w="100" w:type="dxa"/>
              <w:end w:w="120" w:type="dxa"/>
            </w:tcMar>
          </w:tcPr>
          <w:p>
            <w:pPr>
              <w:spacing w:after="0" w:line="252" w:lineRule="auto"/>
            </w:pPr>
            <w:r>
              <w:rPr>
                <w:sz w:val="18"/>
              </w:rPr>
              <w:t>Remote teaching or consultation when online delivery is a good fit for the learner, family, and instructional goal.</w:t>
            </w:r>
          </w:p>
        </w:tc>
      </w:tr>
    </w:tbl>
    <w:p>
      <w:pPr>
        <w:spacing w:after="0"/>
        <w:widowControl/>
      </w:pPr>
    </w:p>
    <w:p>
      <w:pPr>
        <w:pStyle w:val="Heading2"/>
        <w:widowControl/>
      </w:pPr>
      <w:r>
        <w:t>Scheduling Approach</w:t>
      </w:r>
    </w:p>
    <w:p>
      <w:pPr>
        <w:widowControl/>
      </w:pPr>
      <w:r>
        <w:t>The initial HFL rhythm includes Tuesday and Thursday morning homeschool learning blocks and afternoon academic support, with options that may include two-hour, three-hour, or extended blocks. Exact days, times, and formats are confirmed in current program materials. HFL may add additional days, groups, camps, workshops, or enrichment experiences as enrollment and staffing grow.</w:t>
      </w:r>
    </w:p>
    <w:p>
      <w:pPr>
        <w:widowControl/>
      </w:pPr>
      <w:r>
        <w:br w:type="page"/>
      </w:r>
    </w:p>
    <w:p>
      <w:pPr>
        <w:pStyle w:val="SectionLabel"/>
        <w:widowControl/>
      </w:pPr>
      <w:r>
        <w:t>SECTION 7</w:t>
      </w:r>
    </w:p>
    <w:p>
      <w:pPr>
        <w:pStyle w:val="Heading1"/>
        <w:widowControl/>
      </w:pPr>
      <w:r>
        <w:t>The Learner Journey</w:t>
      </w:r>
    </w:p>
    <w:p>
      <w:pPr>
        <w:pStyle w:val="Heading2"/>
        <w:widowControl/>
      </w:pPr>
      <w:r>
        <w:t>Family Inquiry</w:t>
      </w:r>
    </w:p>
    <w:p>
      <w:pPr>
        <w:widowControl/>
      </w:pPr>
      <w:r>
        <w:t>The relationship begins with a conversation about the child, the family’s goals, current concerns, schedule, and preferred starting date. HFL may request recent report cards, testing, teacher comments, learning plans, work samples, or other records that help us understand the learner.</w:t>
      </w:r>
    </w:p>
    <w:p>
      <w:pPr>
        <w:pStyle w:val="Heading2"/>
        <w:widowControl/>
      </w:pPr>
      <w:r>
        <w:t>Initial Review and Diagnostic Process</w:t>
      </w:r>
    </w:p>
    <w:p>
      <w:pPr>
        <w:widowControl/>
      </w:pPr>
      <w:r>
        <w:t>HFL uses a right-sized diagnostic process rather than testing for its own sake. Depending on the program, the process may include a parent conference, student conversation, observation, informal academic tasks, curriculum-based measures, work-sample review, and a trial learning experience. The purpose is to identify a useful starting point and determine whether HFL is an appropriate fit.</w:t>
      </w:r>
    </w:p>
    <w:p>
      <w:pPr>
        <w:pStyle w:val="Heading2"/>
        <w:widowControl/>
      </w:pPr>
      <w:r>
        <w:t>Personalized Learning Plan</w:t>
      </w:r>
    </w:p>
    <w:p>
      <w:pPr>
        <w:widowControl/>
      </w:pPr>
      <w:r>
        <w:t>When the program calls for it, HFL creates a concise personalized learning plan. The plan may describe strengths, priority needs, goals, instructional approaches, recommended materials, accommodations, enrichment opportunities, and how progress will be reviewed. It should be specific enough to guide teaching and simple enough for the family to understand.</w:t>
      </w:r>
    </w:p>
    <w:p>
      <w:pPr>
        <w:pStyle w:val="Heading2"/>
        <w:widowControl/>
      </w:pPr>
      <w:r>
        <w:t>Placement and Grouping</w:t>
      </w:r>
    </w:p>
    <w:p>
      <w:pPr>
        <w:widowControl/>
      </w:pPr>
      <w:r>
        <w:t>Children may be grouped by age, developmental stage, skill, instructional need, interest, or a combination of these. Grade level provides useful information, but it does not automatically determine every lesson or group. Grouping may change as children grow or as the purpose of a learning block changes.</w:t>
      </w:r>
    </w:p>
    <w:p>
      <w:pPr>
        <w:pStyle w:val="Heading2"/>
        <w:widowControl/>
      </w:pPr>
      <w:r>
        <w:t>Ongoing Review</w:t>
      </w:r>
    </w:p>
    <w:p>
      <w:pPr>
        <w:widowControl/>
      </w:pPr>
      <w:r>
        <w:t>Educators review progress through daily observation, student work, short assessments, conversation, and family feedback. When a child is not progressing as expected, HFL revisits the goal, teaching method, intensity, frequency, materials, and environmental factors before deciding the next step.</w:t>
      </w:r>
    </w:p>
    <w:p>
      <w:pPr>
        <w:widowControl/>
      </w:pPr>
      <w:r>
        <w:br w:type="page"/>
      </w:r>
    </w:p>
    <w:p>
      <w:pPr>
        <w:pStyle w:val="SectionLabel"/>
        <w:widowControl/>
      </w:pPr>
      <w:r>
        <w:t>SECTION 8</w:t>
      </w:r>
    </w:p>
    <w:p>
      <w:pPr>
        <w:pStyle w:val="Heading1"/>
        <w:widowControl/>
      </w:pPr>
      <w:r>
        <w:t>Teaching and Curriculum</w:t>
      </w:r>
    </w:p>
    <w:p>
      <w:pPr>
        <w:widowControl/>
      </w:pPr>
      <w:r>
        <w:t>HFL uses a thoughtful mix of structured curriculum, educator-created instruction, diagnostic information, hands-on materials, literature, projects, technology, and real-world experiences. Resources may include Abeka, IXL, family-selected curriculum, and curated materials when they support the learner’s goals. No single product defines the HFL model.</w:t>
      </w:r>
    </w:p>
    <w:p>
      <w:pPr>
        <w:pStyle w:val="Heading2"/>
        <w:widowControl/>
      </w:pPr>
      <w:r>
        <w:t>Instructional Priorities</w:t>
      </w:r>
    </w:p>
    <w:p>
      <w:pPr>
        <w:pStyle w:val="ListBullet"/>
        <w:widowControl/>
      </w:pPr>
      <w:r>
        <w:rPr>
          <w:b/>
        </w:rPr>
        <w:t xml:space="preserve">Foundational skills. </w:t>
      </w:r>
      <w:r>
        <w:t>Children need secure foundations in language, phonics, reading, writing, number sense, and mathematical thinking.</w:t>
      </w:r>
    </w:p>
    <w:p>
      <w:pPr>
        <w:pStyle w:val="ListBullet"/>
        <w:widowControl/>
      </w:pPr>
      <w:r>
        <w:rPr>
          <w:b/>
        </w:rPr>
        <w:t xml:space="preserve">Knowledge and understanding. </w:t>
      </w:r>
      <w:r>
        <w:t>Strong learning includes science, social studies, literature, vocabulary, discussion, and connections across subjects.</w:t>
      </w:r>
    </w:p>
    <w:p>
      <w:pPr>
        <w:pStyle w:val="ListBullet"/>
        <w:widowControl/>
      </w:pPr>
      <w:r>
        <w:rPr>
          <w:b/>
        </w:rPr>
        <w:t xml:space="preserve">Application. </w:t>
      </w:r>
      <w:r>
        <w:t>Children should use what they know to solve problems, write, explain, create, investigate, and make decisions.</w:t>
      </w:r>
    </w:p>
    <w:p>
      <w:pPr>
        <w:pStyle w:val="ListBullet"/>
        <w:widowControl/>
      </w:pPr>
      <w:r>
        <w:rPr>
          <w:b/>
        </w:rPr>
        <w:t xml:space="preserve">Learning habits. </w:t>
      </w:r>
      <w:r>
        <w:t>Attention, organization, perseverance, help-seeking, reflection, and independence are taught deliberately.</w:t>
      </w:r>
    </w:p>
    <w:p>
      <w:pPr>
        <w:pStyle w:val="ListBullet"/>
        <w:widowControl/>
      </w:pPr>
      <w:r>
        <w:rPr>
          <w:b/>
        </w:rPr>
        <w:t xml:space="preserve">Expression. </w:t>
      </w:r>
      <w:r>
        <w:t>Conversation, oral presentation, dramatic expression, art, writing, and project work give children varied ways to communicate understanding.</w:t>
      </w:r>
    </w:p>
    <w:p>
      <w:pPr>
        <w:pStyle w:val="Heading2"/>
        <w:widowControl/>
      </w:pPr>
      <w:r>
        <w:t>Technology</w:t>
      </w:r>
    </w:p>
    <w:p>
      <w:pPr>
        <w:widowControl/>
      </w:pPr>
      <w:r>
        <w:t>Technology may support practice, accessibility, communication, creation, or assessment, but it will not replace responsive teaching and human relationships. HFL chooses digital tools based on instructional purpose, age appropriateness, privacy, and the child’s ability to use them productively.</w:t>
      </w:r>
    </w:p>
    <w:p>
      <w:pPr>
        <w:widowControl/>
      </w:pPr>
      <w:r>
        <w:br w:type="page"/>
      </w:r>
    </w:p>
    <w:p>
      <w:pPr>
        <w:pStyle w:val="SectionLabel"/>
        <w:widowControl/>
      </w:pPr>
      <w:r>
        <w:t>SECTION 9</w:t>
      </w:r>
    </w:p>
    <w:p>
      <w:pPr>
        <w:pStyle w:val="Heading1"/>
        <w:widowControl/>
      </w:pPr>
      <w:r>
        <w:t>Assessment and Progress Communication</w:t>
      </w:r>
    </w:p>
    <w:p>
      <w:pPr>
        <w:pStyle w:val="Heading2"/>
        <w:widowControl/>
      </w:pPr>
      <w:r>
        <w:t>Assessment With a Purpose</w:t>
      </w:r>
    </w:p>
    <w:p>
      <w:pPr>
        <w:widowControl/>
      </w:pPr>
      <w:r>
        <w:t>Assessment helps educators decide what to teach next. HFL uses multiple sources of information because no single score provides a complete picture. Formal and informal measures may include diagnostic tasks, curriculum checks, reading samples, writing, math work, projects, observations, student explanations, and family input.</w:t>
      </w:r>
    </w:p>
    <w:p>
      <w:pPr>
        <w:pStyle w:val="Heading2"/>
        <w:widowControl/>
      </w:pPr>
      <w:r>
        <w:t>What Progress Means</w:t>
      </w:r>
    </w:p>
    <w:p>
      <w:pPr>
        <w:widowControl/>
      </w:pPr>
      <w:r>
        <w:t>Progress may appear as greater accuracy, fluency, understanding, independence, confidence, stamina, transfer of learning, improved work habits, or stronger communication. HFL records meaningful patterns and avoids overstating short-term changes.</w:t>
      </w:r>
    </w:p>
    <w:p>
      <w:pPr>
        <w:pStyle w:val="Heading2"/>
        <w:widowControl/>
      </w:pPr>
      <w:r>
        <w:t>Family Communication</w:t>
      </w:r>
    </w:p>
    <w:p>
      <w:pPr>
        <w:widowControl/>
      </w:pPr>
      <w:r>
        <w:t>Communication will match the intensity and length of the program. Families may receive brief session notes, periodic progress summaries, conferences, portfolio samples, goal updates, or recommendations for home practice. Urgent concerns will be communicated promptly through the family’s approved contact method.</w:t>
      </w:r>
    </w:p>
    <w:p>
      <w:pPr>
        <w:pStyle w:val="Heading2"/>
        <w:widowControl/>
      </w:pPr>
      <w:r>
        <w:t>Educational Scope</w:t>
      </w:r>
    </w:p>
    <w:p>
      <w:pPr>
        <w:widowControl/>
      </w:pPr>
      <w:r>
        <w:t>HFL provides educational assessment and intervention within the qualifications of its educators. HFL does not diagnose medical, psychological, or developmental conditions unless a properly licensed professional is engaged for that purpose. When concerns fall outside HFL’s scope, families may be encouraged to consult an appropriate pediatric, therapeutic, psychological, or evaluation professional.</w:t>
      </w:r>
    </w:p>
    <w:p>
      <w:pPr>
        <w:widowControl/>
      </w:pPr>
      <w:r>
        <w:br w:type="page"/>
      </w:r>
    </w:p>
    <w:p>
      <w:pPr>
        <w:pStyle w:val="SectionLabel"/>
        <w:widowControl/>
      </w:pPr>
      <w:r>
        <w:t>SECTION 10</w:t>
      </w:r>
    </w:p>
    <w:p>
      <w:pPr>
        <w:pStyle w:val="Heading1"/>
        <w:widowControl/>
      </w:pPr>
      <w:r>
        <w:t>Learning Environment and Daily Rhythm</w:t>
      </w:r>
    </w:p>
    <w:p>
      <w:pPr>
        <w:widowControl/>
      </w:pPr>
      <w:r>
        <w:t>The HFL space at 3951 Alma Road Unit 301 in McKinney is being developed as a peaceful, attractive, and functional environment for children and families. Natural materials, calm neutral tones, organized resources, children’s work, books, plants, and selective use of HFL’s brand colors support a warm setting without unnecessary visual clutter.</w:t>
      </w:r>
    </w:p>
    <w:p>
      <w:pPr>
        <w:pStyle w:val="Heading2"/>
        <w:widowControl/>
      </w:pPr>
      <w:r>
        <w:t>Purpose of Each Area</w:t>
      </w:r>
    </w:p>
    <w:tbl>
      <w:tblPr>
        <w:tblW w:type="auto" w:w="0"/>
        <w:jc w:val="center"/>
        <w:tblLayout w:type="fixed"/>
        <w:tblLook w:firstColumn="1" w:firstRow="1" w:lastColumn="0" w:lastRow="0" w:noHBand="0" w:noVBand="1" w:val="04A0"/>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Pr>
      <w:tblGrid>
        <w:gridCol w:w="4939"/>
        <w:gridCol w:w="4939"/>
      </w:tblGrid>
      <w:tr>
        <w:trPr>
          <w:tblHeader w:val="true"/>
        </w:trPr>
        <w:tc>
          <w:tcPr>
            <w:tcW w:type="dxa" w:w="3024"/>
            <w:vAlign w:val="center"/>
            <w:shd w:fill="30383A"/>
            <w:tcMar>
              <w:top w:w="100" w:type="dxa"/>
              <w:start w:w="120" w:type="dxa"/>
              <w:bottom w:w="100" w:type="dxa"/>
              <w:end w:w="120" w:type="dxa"/>
            </w:tcMar>
          </w:tcPr>
          <w:p>
            <w:pPr>
              <w:spacing w:after="0"/>
              <w:jc w:val="left"/>
            </w:pPr>
            <w:r>
              <w:rPr>
                <w:b/>
                <w:color w:val="FFFFFF"/>
                <w:sz w:val="19"/>
              </w:rPr>
              <w:t>Area</w:t>
            </w:r>
          </w:p>
        </w:tc>
        <w:tc>
          <w:tcPr>
            <w:tcW w:type="dxa" w:w="6408"/>
            <w:vAlign w:val="center"/>
            <w:shd w:fill="30383A"/>
            <w:tcMar>
              <w:top w:w="100" w:type="dxa"/>
              <w:start w:w="120" w:type="dxa"/>
              <w:bottom w:w="100" w:type="dxa"/>
              <w:end w:w="120" w:type="dxa"/>
            </w:tcMar>
          </w:tcPr>
          <w:p>
            <w:pPr>
              <w:spacing w:after="0"/>
              <w:jc w:val="left"/>
            </w:pPr>
            <w:r>
              <w:rPr>
                <w:b/>
                <w:color w:val="FFFFFF"/>
                <w:sz w:val="19"/>
              </w:rPr>
              <w:t>Intended Use</w:t>
            </w:r>
          </w:p>
        </w:tc>
      </w:tr>
      <w:tr>
        <w:tc>
          <w:tcPr>
            <w:tcW w:type="dxa" w:w="3024"/>
            <w:vAlign w:val="center"/>
            <w:tcMar>
              <w:top w:w="100" w:type="dxa"/>
              <w:start w:w="120" w:type="dxa"/>
              <w:bottom w:w="100" w:type="dxa"/>
              <w:end w:w="120" w:type="dxa"/>
            </w:tcMar>
          </w:tcPr>
          <w:p>
            <w:pPr>
              <w:spacing w:after="0" w:line="252" w:lineRule="auto"/>
            </w:pPr>
            <w:r>
              <w:rPr>
                <w:sz w:val="18"/>
              </w:rPr>
              <w:t>Intervention and Consultation Room</w:t>
            </w:r>
          </w:p>
        </w:tc>
        <w:tc>
          <w:tcPr>
            <w:tcW w:type="dxa" w:w="6408"/>
            <w:vAlign w:val="center"/>
            <w:tcMar>
              <w:top w:w="100" w:type="dxa"/>
              <w:start w:w="120" w:type="dxa"/>
              <w:bottom w:w="100" w:type="dxa"/>
              <w:end w:w="120" w:type="dxa"/>
            </w:tcMar>
          </w:tcPr>
          <w:p>
            <w:pPr>
              <w:spacing w:after="0" w:line="252" w:lineRule="auto"/>
            </w:pPr>
            <w:r>
              <w:rPr>
                <w:sz w:val="18"/>
              </w:rPr>
              <w:t>A quieter setting for one-to-one instruction, diagnostic work, family conferences, planning, and confidential conversations.</w:t>
            </w:r>
          </w:p>
        </w:tc>
      </w:tr>
      <w:tr>
        <w:tc>
          <w:tcPr>
            <w:tcW w:type="dxa" w:w="3024"/>
            <w:vAlign w:val="center"/>
            <w:tcMar>
              <w:top w:w="100" w:type="dxa"/>
              <w:start w:w="120" w:type="dxa"/>
              <w:bottom w:w="100" w:type="dxa"/>
              <w:end w:w="120" w:type="dxa"/>
            </w:tcMar>
            <w:shd w:fill="F3F4F2"/>
          </w:tcPr>
          <w:p>
            <w:pPr>
              <w:spacing w:after="0" w:line="252" w:lineRule="auto"/>
            </w:pPr>
            <w:r>
              <w:rPr>
                <w:sz w:val="18"/>
              </w:rPr>
              <w:t>Toddler and Early Childhood Playroom</w:t>
            </w:r>
          </w:p>
        </w:tc>
        <w:tc>
          <w:tcPr>
            <w:tcW w:type="dxa" w:w="6408"/>
            <w:vAlign w:val="center"/>
            <w:tcMar>
              <w:top w:w="100" w:type="dxa"/>
              <w:start w:w="120" w:type="dxa"/>
              <w:bottom w:w="100" w:type="dxa"/>
              <w:end w:w="120" w:type="dxa"/>
            </w:tcMar>
            <w:shd w:fill="F3F4F2"/>
          </w:tcPr>
          <w:p>
            <w:pPr>
              <w:spacing w:after="0" w:line="252" w:lineRule="auto"/>
            </w:pPr>
            <w:r>
              <w:rPr>
                <w:sz w:val="18"/>
              </w:rPr>
              <w:t>A safe indoor environment for supervised play, sensory exploration, movement, language, and developmentally appropriate early learning.</w:t>
            </w:r>
          </w:p>
        </w:tc>
      </w:tr>
      <w:tr>
        <w:tc>
          <w:tcPr>
            <w:tcW w:type="dxa" w:w="3024"/>
            <w:vAlign w:val="center"/>
            <w:tcMar>
              <w:top w:w="100" w:type="dxa"/>
              <w:start w:w="120" w:type="dxa"/>
              <w:bottom w:w="100" w:type="dxa"/>
              <w:end w:w="120" w:type="dxa"/>
            </w:tcMar>
          </w:tcPr>
          <w:p>
            <w:pPr>
              <w:spacing w:after="0" w:line="252" w:lineRule="auto"/>
            </w:pPr>
            <w:r>
              <w:rPr>
                <w:sz w:val="18"/>
              </w:rPr>
              <w:t>Preschool and Lower Elementary Room</w:t>
            </w:r>
          </w:p>
        </w:tc>
        <w:tc>
          <w:tcPr>
            <w:tcW w:type="dxa" w:w="6408"/>
            <w:vAlign w:val="center"/>
            <w:tcMar>
              <w:top w:w="100" w:type="dxa"/>
              <w:start w:w="120" w:type="dxa"/>
              <w:bottom w:w="100" w:type="dxa"/>
              <w:end w:w="120" w:type="dxa"/>
            </w:tcMar>
          </w:tcPr>
          <w:p>
            <w:pPr>
              <w:spacing w:after="0" w:line="252" w:lineRule="auto"/>
            </w:pPr>
            <w:r>
              <w:rPr>
                <w:sz w:val="18"/>
              </w:rPr>
              <w:t>A flexible space for foundational literacy and math, learning centers, stories, hands-on lessons, small groups, and creative work.</w:t>
            </w:r>
          </w:p>
        </w:tc>
      </w:tr>
      <w:tr>
        <w:tc>
          <w:tcPr>
            <w:tcW w:type="dxa" w:w="3024"/>
            <w:vAlign w:val="center"/>
            <w:tcMar>
              <w:top w:w="100" w:type="dxa"/>
              <w:start w:w="120" w:type="dxa"/>
              <w:bottom w:w="100" w:type="dxa"/>
              <w:end w:w="120" w:type="dxa"/>
            </w:tcMar>
            <w:shd w:fill="F3F4F2"/>
          </w:tcPr>
          <w:p>
            <w:pPr>
              <w:spacing w:after="0" w:line="252" w:lineRule="auto"/>
            </w:pPr>
            <w:r>
              <w:rPr>
                <w:sz w:val="18"/>
              </w:rPr>
              <w:t>Upper Elementary Room</w:t>
            </w:r>
          </w:p>
        </w:tc>
        <w:tc>
          <w:tcPr>
            <w:tcW w:type="dxa" w:w="6408"/>
            <w:vAlign w:val="center"/>
            <w:tcMar>
              <w:top w:w="100" w:type="dxa"/>
              <w:start w:w="120" w:type="dxa"/>
              <w:bottom w:w="100" w:type="dxa"/>
              <w:end w:w="120" w:type="dxa"/>
            </w:tcMar>
            <w:shd w:fill="F3F4F2"/>
          </w:tcPr>
          <w:p>
            <w:pPr>
              <w:spacing w:after="0" w:line="252" w:lineRule="auto"/>
            </w:pPr>
            <w:r>
              <w:rPr>
                <w:sz w:val="18"/>
              </w:rPr>
              <w:t>A focused environment for deeper academic study, projects, collaboration, independent practice, research, and presentation.</w:t>
            </w:r>
          </w:p>
        </w:tc>
      </w:tr>
      <w:tr>
        <w:tc>
          <w:tcPr>
            <w:tcW w:type="dxa" w:w="3024"/>
            <w:vAlign w:val="center"/>
            <w:tcMar>
              <w:top w:w="100" w:type="dxa"/>
              <w:start w:w="120" w:type="dxa"/>
              <w:bottom w:w="100" w:type="dxa"/>
              <w:end w:w="120" w:type="dxa"/>
            </w:tcMar>
          </w:tcPr>
          <w:p>
            <w:pPr>
              <w:spacing w:after="0" w:line="252" w:lineRule="auto"/>
            </w:pPr>
            <w:r>
              <w:rPr>
                <w:sz w:val="18"/>
              </w:rPr>
              <w:t>Waiting and Family Area</w:t>
            </w:r>
          </w:p>
        </w:tc>
        <w:tc>
          <w:tcPr>
            <w:tcW w:type="dxa" w:w="6408"/>
            <w:vAlign w:val="center"/>
            <w:tcMar>
              <w:top w:w="100" w:type="dxa"/>
              <w:start w:w="120" w:type="dxa"/>
              <w:bottom w:w="100" w:type="dxa"/>
              <w:end w:w="120" w:type="dxa"/>
            </w:tcMar>
          </w:tcPr>
          <w:p>
            <w:pPr>
              <w:spacing w:after="0" w:line="252" w:lineRule="auto"/>
            </w:pPr>
            <w:r>
              <w:rPr>
                <w:sz w:val="18"/>
              </w:rPr>
              <w:t>A welcoming transition space where families can receive information and children can arrive and depart calmly.</w:t>
            </w:r>
          </w:p>
        </w:tc>
      </w:tr>
      <w:tr>
        <w:tc>
          <w:tcPr>
            <w:tcW w:type="dxa" w:w="3024"/>
            <w:vAlign w:val="center"/>
            <w:tcMar>
              <w:top w:w="100" w:type="dxa"/>
              <w:start w:w="120" w:type="dxa"/>
              <w:bottom w:w="100" w:type="dxa"/>
              <w:end w:w="120" w:type="dxa"/>
            </w:tcMar>
            <w:shd w:fill="F3F4F2"/>
          </w:tcPr>
          <w:p>
            <w:pPr>
              <w:spacing w:after="0" w:line="252" w:lineRule="auto"/>
            </w:pPr>
            <w:r>
              <w:rPr>
                <w:sz w:val="18"/>
              </w:rPr>
              <w:t>Kitchen and Lunch Area</w:t>
            </w:r>
          </w:p>
        </w:tc>
        <w:tc>
          <w:tcPr>
            <w:tcW w:type="dxa" w:w="6408"/>
            <w:vAlign w:val="center"/>
            <w:tcMar>
              <w:top w:w="100" w:type="dxa"/>
              <w:start w:w="120" w:type="dxa"/>
              <w:bottom w:w="100" w:type="dxa"/>
              <w:end w:w="120" w:type="dxa"/>
            </w:tcMar>
            <w:shd w:fill="F3F4F2"/>
          </w:tcPr>
          <w:p>
            <w:pPr>
              <w:spacing w:after="0" w:line="252" w:lineRule="auto"/>
            </w:pPr>
            <w:r>
              <w:rPr>
                <w:sz w:val="18"/>
              </w:rPr>
              <w:t>A practical support area for staff resources, printing, meals, and supervised breaks, subject to facility rules and current health and safety procedures.</w:t>
            </w:r>
          </w:p>
        </w:tc>
      </w:tr>
    </w:tbl>
    <w:p>
      <w:pPr>
        <w:spacing w:after="0"/>
        <w:widowControl/>
      </w:pPr>
    </w:p>
    <w:p>
      <w:pPr>
        <w:pStyle w:val="Heading2"/>
        <w:widowControl/>
      </w:pPr>
      <w:r>
        <w:t>A Sample Learning Block</w:t>
      </w:r>
    </w:p>
    <w:p>
      <w:pPr>
        <w:pStyle w:val="ListNumber"/>
        <w:widowControl/>
      </w:pPr>
      <w:r>
        <w:t>Welcome and connection through a calm arrival routine.</w:t>
      </w:r>
    </w:p>
    <w:p>
      <w:pPr>
        <w:pStyle w:val="ListNumber"/>
        <w:widowControl/>
      </w:pPr>
      <w:r>
        <w:t>Short community lesson, read-aloud, mini lesson, or group discussion.</w:t>
      </w:r>
    </w:p>
    <w:p>
      <w:pPr>
        <w:pStyle w:val="ListNumber"/>
        <w:widowControl/>
      </w:pPr>
      <w:r>
        <w:t>Rotations for guided instruction, individual intervention, collaborative learning, independent work, or play-based exploration.</w:t>
      </w:r>
    </w:p>
    <w:p>
      <w:pPr>
        <w:pStyle w:val="ListNumber"/>
        <w:widowControl/>
      </w:pPr>
      <w:r>
        <w:t>Movement, outdoor time, snack, or a developmentally appropriate break.</w:t>
      </w:r>
    </w:p>
    <w:p>
      <w:pPr>
        <w:pStyle w:val="ListNumber"/>
        <w:widowControl/>
      </w:pPr>
      <w:r>
        <w:t>Project, enrichment, science investigation, art, writing, or student-led discovery.</w:t>
      </w:r>
    </w:p>
    <w:p>
      <w:pPr>
        <w:pStyle w:val="ListNumber"/>
        <w:widowControl/>
      </w:pPr>
      <w:r>
        <w:t>Reflection, sharing, presentation, cleanup, and preparation for dismissal.</w:t>
      </w:r>
    </w:p>
    <w:p>
      <w:pPr>
        <w:widowControl/>
      </w:pPr>
      <w:r>
        <w:t>This rhythm is a model rather than a rigid timetable. The educator may adjust pacing based on age, attention, instructional purpose, and the needs of the group.</w:t>
      </w:r>
    </w:p>
    <w:p>
      <w:pPr>
        <w:widowControl/>
      </w:pPr>
      <w:r>
        <w:br w:type="page"/>
      </w:r>
    </w:p>
    <w:p>
      <w:pPr>
        <w:pStyle w:val="SectionLabel"/>
        <w:widowControl/>
      </w:pPr>
      <w:r>
        <w:t>SECTION 11</w:t>
      </w:r>
    </w:p>
    <w:p>
      <w:pPr>
        <w:pStyle w:val="Heading1"/>
        <w:widowControl/>
      </w:pPr>
      <w:r>
        <w:t>Family Partnership</w:t>
      </w:r>
    </w:p>
    <w:p>
      <w:pPr>
        <w:widowControl/>
      </w:pPr>
      <w:r>
        <w:t>HFL works alongside families. Partnership requires respectful communication, clear expectations, timely sharing of relevant information, and a willingness to address concerns directly. Families do not need to recreate the classroom at home, but they should understand the child’s main goals and support reasonable follow-through.</w:t>
      </w:r>
    </w:p>
    <w:p>
      <w:pPr>
        <w:pStyle w:val="Heading2"/>
        <w:widowControl/>
      </w:pPr>
      <w:r>
        <w:t>HFL Responsibilities</w:t>
      </w:r>
    </w:p>
    <w:p>
      <w:pPr>
        <w:pStyle w:val="ListBullet"/>
        <w:widowControl/>
      </w:pPr>
      <w:r>
        <w:t>Provide thoughtful instruction and supervision within the enrolled program.</w:t>
      </w:r>
    </w:p>
    <w:p>
      <w:pPr>
        <w:pStyle w:val="ListBullet"/>
        <w:widowControl/>
      </w:pPr>
      <w:r>
        <w:t>Treat each child and family with dignity, fairness, and respect.</w:t>
      </w:r>
    </w:p>
    <w:p>
      <w:pPr>
        <w:pStyle w:val="ListBullet"/>
        <w:widowControl/>
      </w:pPr>
      <w:r>
        <w:t>Plan from available assessment information and adjust teaching when needed.</w:t>
      </w:r>
    </w:p>
    <w:p>
      <w:pPr>
        <w:pStyle w:val="ListBullet"/>
        <w:widowControl/>
      </w:pPr>
      <w:r>
        <w:t>Communicate significant progress, concerns, incidents, or recommended next steps.</w:t>
      </w:r>
    </w:p>
    <w:p>
      <w:pPr>
        <w:pStyle w:val="ListBullet"/>
        <w:widowControl/>
      </w:pPr>
      <w:r>
        <w:t>Maintain appropriate confidentiality and professional boundaries.</w:t>
      </w:r>
    </w:p>
    <w:p>
      <w:pPr>
        <w:pStyle w:val="ListBullet"/>
        <w:widowControl/>
      </w:pPr>
      <w:r>
        <w:t>Create a learning environment that is organized, welcoming, and responsive.</w:t>
      </w:r>
    </w:p>
    <w:p>
      <w:pPr>
        <w:pStyle w:val="Heading2"/>
        <w:widowControl/>
      </w:pPr>
      <w:r>
        <w:t>Family Responsibilities</w:t>
      </w:r>
    </w:p>
    <w:p>
      <w:pPr>
        <w:pStyle w:val="ListBullet"/>
        <w:widowControl/>
      </w:pPr>
      <w:r>
        <w:t>Provide complete and accurate enrollment, health, educational, and emergency information.</w:t>
      </w:r>
    </w:p>
    <w:p>
      <w:pPr>
        <w:pStyle w:val="ListBullet"/>
        <w:widowControl/>
      </w:pPr>
      <w:r>
        <w:t>Share relevant learning plans, evaluations, medical needs, behavioral concerns, custody restrictions, or school records that affect safe and effective service.</w:t>
      </w:r>
    </w:p>
    <w:p>
      <w:pPr>
        <w:pStyle w:val="ListBullet"/>
        <w:widowControl/>
      </w:pPr>
      <w:r>
        <w:t>Bring the child on time, prepared, rested when possible, and with required materials.</w:t>
      </w:r>
    </w:p>
    <w:p>
      <w:pPr>
        <w:pStyle w:val="ListBullet"/>
        <w:widowControl/>
      </w:pPr>
      <w:r>
        <w:t>Communicate absences, schedule changes, and concerns promptly.</w:t>
      </w:r>
    </w:p>
    <w:p>
      <w:pPr>
        <w:pStyle w:val="ListBullet"/>
        <w:widowControl/>
      </w:pPr>
      <w:r>
        <w:t>Respect payment terms, program boundaries, staff time, and the privacy of other families.</w:t>
      </w:r>
    </w:p>
    <w:p>
      <w:pPr>
        <w:pStyle w:val="ListBullet"/>
        <w:widowControl/>
      </w:pPr>
      <w:r>
        <w:t>Practice recommended skills or routines at home when agreed upon and realistic.</w:t>
      </w:r>
    </w:p>
    <w:p>
      <w:pPr>
        <w:pStyle w:val="Heading2"/>
        <w:widowControl/>
      </w:pPr>
      <w:r>
        <w:t>Communication and Problem Solving</w:t>
      </w:r>
    </w:p>
    <w:p>
      <w:pPr>
        <w:widowControl/>
      </w:pPr>
      <w:r>
        <w:t>Questions and concerns should be brought directly to the Founder and Educational Director or the staff member identified for the program. HFL will listen, review relevant information, and respond with the child’s safety, learning, dignity, and the health of the group in mind. Families are asked to avoid discussing another child’s behavior or private information in public spaces or group chats.</w:t>
      </w:r>
    </w:p>
    <w:p>
      <w:pPr>
        <w:widowControl/>
      </w:pPr>
      <w:r>
        <w:br w:type="page"/>
      </w:r>
    </w:p>
    <w:p>
      <w:pPr>
        <w:pStyle w:val="SectionLabel"/>
        <w:widowControl/>
      </w:pPr>
      <w:r>
        <w:t>SECTION 12</w:t>
      </w:r>
    </w:p>
    <w:p>
      <w:pPr>
        <w:pStyle w:val="Heading1"/>
        <w:widowControl/>
      </w:pPr>
      <w:r>
        <w:t>Student Culture and Community Expectations</w:t>
      </w:r>
    </w:p>
    <w:p>
      <w:pPr>
        <w:widowControl/>
      </w:pPr>
      <w:r>
        <w:t>HFL aims for a culture that is warm, orderly, curious, and respectful. Children are expected to grow into the community’s habits over time. Expectations will be taught, modeled, practiced, and reinforced in ways appropriate to age and development.</w:t>
      </w:r>
    </w:p>
    <w:p>
      <w:pPr>
        <w:pStyle w:val="Heading2"/>
        <w:widowControl/>
      </w:pPr>
      <w:r>
        <w:t>Community Habits</w:t>
      </w:r>
    </w:p>
    <w:p>
      <w:pPr>
        <w:pStyle w:val="ListBullet"/>
        <w:widowControl/>
      </w:pPr>
      <w:r>
        <w:rPr>
          <w:b/>
        </w:rPr>
        <w:t xml:space="preserve">Respect people. </w:t>
      </w:r>
      <w:r>
        <w:t>Use words and actions that protect the dignity, safety, bodies, identities, cultures, work, and belongings of others.</w:t>
      </w:r>
    </w:p>
    <w:p>
      <w:pPr>
        <w:pStyle w:val="ListBullet"/>
        <w:widowControl/>
      </w:pPr>
      <w:r>
        <w:rPr>
          <w:b/>
        </w:rPr>
        <w:t xml:space="preserve">Take responsibility. </w:t>
      </w:r>
      <w:r>
        <w:t>Tell the truth, care for materials, complete reasonable work, and participate in repairing harm.</w:t>
      </w:r>
    </w:p>
    <w:p>
      <w:pPr>
        <w:pStyle w:val="ListBullet"/>
        <w:widowControl/>
      </w:pPr>
      <w:r>
        <w:rPr>
          <w:b/>
        </w:rPr>
        <w:t xml:space="preserve">Practice perseverance. </w:t>
      </w:r>
      <w:r>
        <w:t>Try, ask for help, use a strategy, and return to difficult work after an appropriate pause.</w:t>
      </w:r>
    </w:p>
    <w:p>
      <w:pPr>
        <w:pStyle w:val="ListBullet"/>
        <w:widowControl/>
      </w:pPr>
      <w:r>
        <w:rPr>
          <w:b/>
        </w:rPr>
        <w:t xml:space="preserve">Protect learning. </w:t>
      </w:r>
      <w:r>
        <w:t>Follow routines, use materials safely, and allow others to concentrate and participate.</w:t>
      </w:r>
    </w:p>
    <w:p>
      <w:pPr>
        <w:pStyle w:val="ListBullet"/>
        <w:widowControl/>
      </w:pPr>
      <w:r>
        <w:rPr>
          <w:b/>
        </w:rPr>
        <w:t xml:space="preserve">Contribute to community. </w:t>
      </w:r>
      <w:r>
        <w:t>Help, include others, listen, share ideas, and care for common spaces.</w:t>
      </w:r>
    </w:p>
    <w:p>
      <w:pPr>
        <w:pStyle w:val="ListBullet"/>
        <w:widowControl/>
      </w:pPr>
      <w:r>
        <w:rPr>
          <w:b/>
        </w:rPr>
        <w:t xml:space="preserve">Grow in independence. </w:t>
      </w:r>
      <w:r>
        <w:t>Make appropriate choices, manage belongings, reflect on work, and accept increasing responsibility.</w:t>
      </w:r>
    </w:p>
    <w:p>
      <w:pPr>
        <w:pStyle w:val="Heading2"/>
        <w:widowControl/>
      </w:pPr>
      <w:r>
        <w:t>Guidance and Behavior Support</w:t>
      </w:r>
    </w:p>
    <w:p>
      <w:pPr>
        <w:widowControl/>
      </w:pPr>
      <w:r>
        <w:t>HFL responds to behavior by protecting safety, teaching missing skills, setting clear limits, and helping children repair harm. Responses may include redirection, a calm reset, reteaching, a changed seat or activity, restorative conversation, family collaboration, a support plan, or temporary removal from an activity. Discipline will not be humiliating, threatening, or physically punitive.</w:t>
      </w:r>
    </w:p>
    <w:p>
      <w:pPr>
        <w:widowControl/>
      </w:pPr>
      <w:r>
        <w:t>Some behaviors may require immediate pickup, a pause in attendance, a revised service plan, or termination of enrollment when safety cannot be maintained or when the program cannot meet the child’s needs. HFL will consider the child’s age, development, disability-related needs, circumstances, severity, frequency, and the safety of the full group.</w:t>
      </w:r>
    </w:p>
    <w:p>
      <w:pPr>
        <w:widowControl/>
      </w:pPr>
      <w:r>
        <w:br w:type="page"/>
      </w:r>
    </w:p>
    <w:p>
      <w:pPr>
        <w:pStyle w:val="SectionLabel"/>
        <w:widowControl/>
      </w:pPr>
      <w:r>
        <w:t>SECTION 13</w:t>
      </w:r>
    </w:p>
    <w:p>
      <w:pPr>
        <w:pStyle w:val="Heading1"/>
        <w:widowControl/>
      </w:pPr>
      <w:r>
        <w:t>Inclusion Intervention and Student Support</w:t>
      </w:r>
    </w:p>
    <w:p>
      <w:pPr>
        <w:widowControl/>
      </w:pPr>
      <w:r>
        <w:t>HFL welcomes learner differences and seeks to respond with skill, respect, and honesty. Inclusion means more than allowing a child to be present. It requires meaningful participation, accessible instruction, belonging, and support that helps the child grow.</w:t>
      </w:r>
    </w:p>
    <w:p>
      <w:pPr>
        <w:pStyle w:val="Heading2"/>
        <w:widowControl/>
      </w:pPr>
      <w:r>
        <w:t>Support May Include</w:t>
      </w:r>
    </w:p>
    <w:p>
      <w:pPr>
        <w:pStyle w:val="ListBullet"/>
        <w:widowControl/>
      </w:pPr>
      <w:r>
        <w:t>Smaller groups or one-to-one instruction.</w:t>
      </w:r>
    </w:p>
    <w:p>
      <w:pPr>
        <w:pStyle w:val="ListBullet"/>
        <w:widowControl/>
      </w:pPr>
      <w:r>
        <w:t>Explicit, systematic teaching and additional guided practice.</w:t>
      </w:r>
    </w:p>
    <w:p>
      <w:pPr>
        <w:pStyle w:val="ListBullet"/>
        <w:widowControl/>
      </w:pPr>
      <w:r>
        <w:t>Visual supports, movement, sensory tools, assistive technology, or adapted materials.</w:t>
      </w:r>
    </w:p>
    <w:p>
      <w:pPr>
        <w:pStyle w:val="ListBullet"/>
        <w:widowControl/>
      </w:pPr>
      <w:r>
        <w:t>Adjusted pacing, response formats, task length, or learning environment.</w:t>
      </w:r>
    </w:p>
    <w:p>
      <w:pPr>
        <w:pStyle w:val="ListBullet"/>
        <w:widowControl/>
      </w:pPr>
      <w:r>
        <w:t>Strength-based enrichment that protects motivation and identity.</w:t>
      </w:r>
    </w:p>
    <w:p>
      <w:pPr>
        <w:pStyle w:val="ListBullet"/>
        <w:widowControl/>
      </w:pPr>
      <w:r>
        <w:t>Coordination with families and, when authorized, outside schools or professionals.</w:t>
      </w:r>
    </w:p>
    <w:p>
      <w:pPr>
        <w:pStyle w:val="Heading2"/>
        <w:widowControl/>
      </w:pPr>
      <w:r>
        <w:t>Fit and Capacity</w:t>
      </w:r>
    </w:p>
    <w:p>
      <w:pPr>
        <w:widowControl/>
      </w:pPr>
      <w:r>
        <w:t>HFL will be honest about its ability to meet a child’s needs within a particular program. Enrollment depends on staffing, group composition, facility capacity, safety, and the type and intensity of support required. HFL may recommend a different schedule, one-to-one service, additional evaluation, outside support, or another setting when that would better serve the child.</w:t>
      </w:r>
    </w:p>
    <w:p>
      <w:pPr>
        <w:pStyle w:val="Heading2"/>
        <w:widowControl/>
      </w:pPr>
      <w:r>
        <w:t>Dignity and Confidentiality</w:t>
      </w:r>
    </w:p>
    <w:p>
      <w:pPr>
        <w:widowControl/>
      </w:pPr>
      <w:r>
        <w:t>A child’s diagnosis, learning difference, behavior history, or academic level will be discussed only with people who need the information to provide safe and effective service, unless disclosure is required by law. Educators will describe needs accurately without using language that shames the child or treats the child as a problem.</w:t>
      </w:r>
    </w:p>
    <w:p>
      <w:pPr>
        <w:widowControl/>
      </w:pPr>
      <w:r>
        <w:br w:type="page"/>
      </w:r>
    </w:p>
    <w:p>
      <w:pPr>
        <w:pStyle w:val="SectionLabel"/>
        <w:widowControl/>
      </w:pPr>
      <w:r>
        <w:t>SECTION 14</w:t>
      </w:r>
    </w:p>
    <w:p>
      <w:pPr>
        <w:pStyle w:val="Heading1"/>
        <w:widowControl/>
      </w:pPr>
      <w:r>
        <w:t>Foundational Family Policies</w:t>
      </w:r>
    </w:p>
    <w:p>
      <w:pPr>
        <w:widowControl/>
      </w:pPr>
      <w:r>
        <w:t>The policies below establish baseline expectations. Program-specific enrollment agreements may add details concerning schedules, fees, attendance, refunds, authorized pickup, health requirements, emergency procedures, media permission, technology, and other operational matters.</w:t>
      </w:r>
    </w:p>
    <w:p>
      <w:pPr>
        <w:pStyle w:val="Heading2"/>
        <w:widowControl/>
      </w:pPr>
      <w:r>
        <w:t>Enrollment and Records</w:t>
      </w:r>
    </w:p>
    <w:p>
      <w:pPr>
        <w:widowControl/>
      </w:pPr>
      <w:r>
        <w:t>Enrollment is complete when required forms, records, permissions, agreements, and payments have been received. Families must keep contact, health, emergency, custody, and authorized pickup information current.</w:t>
      </w:r>
    </w:p>
    <w:p>
      <w:pPr>
        <w:pStyle w:val="Heading2"/>
        <w:widowControl/>
      </w:pPr>
      <w:r>
        <w:t>Attendance and Punctuality</w:t>
      </w:r>
    </w:p>
    <w:p>
      <w:pPr>
        <w:widowControl/>
      </w:pPr>
      <w:r>
        <w:t>Consistent attendance supports learning and group stability. Families should notify HFL as soon as possible about absence or lateness. Missed-session and makeup terms follow the current enrollment agreement.</w:t>
      </w:r>
    </w:p>
    <w:p>
      <w:pPr>
        <w:pStyle w:val="Heading2"/>
        <w:widowControl/>
      </w:pPr>
      <w:r>
        <w:t>Arrival and Dismissal</w:t>
      </w:r>
    </w:p>
    <w:p>
      <w:pPr>
        <w:widowControl/>
      </w:pPr>
      <w:r>
        <w:t>Children must be transferred directly between an authorized adult and HFL staff according to the current arrival and dismissal process. HFL will release a child only to an authorized person whose identity can be verified.</w:t>
      </w:r>
    </w:p>
    <w:p>
      <w:pPr>
        <w:pStyle w:val="Heading2"/>
        <w:widowControl/>
      </w:pPr>
      <w:r>
        <w:t>Health and Illness</w:t>
      </w:r>
    </w:p>
    <w:p>
      <w:pPr>
        <w:widowControl/>
      </w:pPr>
      <w:r>
        <w:t>Children should remain home when they have symptoms that may prevent participation or place others at risk. Current written health procedures govern return, medication, allergies, injuries, and communicable illness.</w:t>
      </w:r>
    </w:p>
    <w:p>
      <w:pPr>
        <w:pStyle w:val="Heading2"/>
        <w:widowControl/>
      </w:pPr>
      <w:r>
        <w:t>Emergency Response</w:t>
      </w:r>
    </w:p>
    <w:p>
      <w:pPr>
        <w:widowControl/>
      </w:pPr>
      <w:r>
        <w:t>Families must provide reliable emergency contacts and relevant medical information. HFL may contact emergency services when staff reasonably believe urgent care is needed and will notify the family as soon as practical.</w:t>
      </w:r>
    </w:p>
    <w:p>
      <w:pPr>
        <w:pStyle w:val="Heading2"/>
        <w:widowControl/>
      </w:pPr>
      <w:r>
        <w:t>Food and Allergies</w:t>
      </w:r>
    </w:p>
    <w:p>
      <w:pPr>
        <w:widowControl/>
      </w:pPr>
      <w:r>
        <w:t>Families must disclose allergies and dietary restrictions. Food practices depend on the program and facility procedures. Sharing food may be limited to protect children with allergies or other medical needs.</w:t>
      </w:r>
    </w:p>
    <w:p>
      <w:pPr>
        <w:pStyle w:val="Heading2"/>
        <w:widowControl/>
      </w:pPr>
      <w:r>
        <w:t>Belongings and Clothing</w:t>
      </w:r>
    </w:p>
    <w:p>
      <w:pPr>
        <w:widowControl/>
      </w:pPr>
      <w:r>
        <w:t>Children should bring labeled materials requested for their program and wear clothing suitable for movement, art, outdoor activity, and the weather. Valuable personal items should remain at home unless approved.</w:t>
      </w:r>
    </w:p>
    <w:p>
      <w:pPr>
        <w:pStyle w:val="Heading2"/>
        <w:widowControl/>
      </w:pPr>
      <w:r>
        <w:t>Technology and Devices</w:t>
      </w:r>
    </w:p>
    <w:p>
      <w:pPr>
        <w:widowControl/>
      </w:pPr>
      <w:r>
        <w:t>Personal devices may be restricted during programming. HFL-provided technology must be used for its assigned educational purpose and handled responsibly.</w:t>
      </w:r>
    </w:p>
    <w:p>
      <w:pPr>
        <w:pStyle w:val="Heading2"/>
        <w:widowControl/>
      </w:pPr>
      <w:r>
        <w:t>Privacy and Media</w:t>
      </w:r>
    </w:p>
    <w:p>
      <w:pPr>
        <w:widowControl/>
      </w:pPr>
      <w:r>
        <w:t>HFL will seek written permission before using identifiable student images or work for public marketing. Families may not photograph, record, or post other children without permission.</w:t>
      </w:r>
    </w:p>
    <w:p>
      <w:pPr>
        <w:pStyle w:val="Heading2"/>
        <w:widowControl/>
      </w:pPr>
      <w:r>
        <w:t>Payments and Program Changes</w:t>
      </w:r>
    </w:p>
    <w:p>
      <w:pPr>
        <w:widowControl/>
      </w:pPr>
      <w:r>
        <w:t>Fees, due dates, deposits, cancellations, refunds, and withdrawal terms are stated in the current enrollment agreement. HFL may update programs with reasonable notice when staffing, safety, enrollment, facility, or educational needs require a change.</w:t>
      </w:r>
    </w:p>
    <w:p>
      <w:pPr>
        <w:pStyle w:val="Heading2"/>
        <w:widowControl/>
      </w:pPr>
      <w:r>
        <w:t>Nondiscrimination and Respect</w:t>
      </w:r>
    </w:p>
    <w:p>
      <w:pPr>
        <w:widowControl/>
      </w:pPr>
      <w:r>
        <w:t>HFL expects respectful treatment across differences in race, color, national origin, culture, sex, disability, religion, and family background, consistent with applicable law and the organization’s educational values.</w:t>
      </w:r>
    </w:p>
    <w:p>
      <w:pPr>
        <w:pStyle w:val="Heading2"/>
        <w:widowControl/>
      </w:pPr>
      <w:r>
        <w:t>Withdrawal or Termination</w:t>
      </w:r>
    </w:p>
    <w:p>
      <w:pPr>
        <w:widowControl/>
      </w:pPr>
      <w:r>
        <w:t>A family may withdraw under the terms of its agreement. HFL may end enrollment for nonpayment, repeated policy violations, unsafe behavior, inaccurate or withheld essential information, breakdown of the working relationship, or needs the program cannot safely meet.</w:t>
      </w:r>
    </w:p>
    <w:p>
      <w:pPr>
        <w:widowControl/>
      </w:pPr>
      <w:r>
        <w:br w:type="page"/>
      </w:r>
    </w:p>
    <w:p>
      <w:pPr>
        <w:pStyle w:val="SectionLabel"/>
        <w:widowControl/>
      </w:pPr>
      <w:r>
        <w:t>SECTION 15</w:t>
      </w:r>
    </w:p>
    <w:p>
      <w:pPr>
        <w:pStyle w:val="Heading1"/>
        <w:widowControl/>
      </w:pPr>
      <w:r>
        <w:t>Leadership Growth and Long Term Direction</w:t>
      </w:r>
    </w:p>
    <w:p>
      <w:pPr>
        <w:pStyle w:val="Heading2"/>
        <w:widowControl/>
      </w:pPr>
      <w:r>
        <w:t>Founding Leadership</w:t>
      </w:r>
    </w:p>
    <w:p>
      <w:pPr>
        <w:widowControl/>
      </w:pPr>
      <w:r>
        <w:t>Hands Free Learning is founded and led by Ama Akerele, a certified educator in EC–6 Core Subjects and Special Education EC–12 with experience in kindergarten, elementary reading and writing, theater arts enrichment, academic intervention, homeschooling, and private tutoring. The Founder and Educational Director is responsible for protecting the educational vision, guiding program quality, supporting families, and building systems that can grow with integrity.</w:t>
      </w:r>
    </w:p>
    <w:p>
      <w:pPr>
        <w:pStyle w:val="Heading2"/>
        <w:widowControl/>
      </w:pPr>
      <w:r>
        <w:t>How HFL Will Grow</w:t>
      </w:r>
    </w:p>
    <w:p>
      <w:pPr>
        <w:widowControl/>
      </w:pPr>
      <w:r>
        <w:t>Growth will be measured by more than enrollment. HFL will look for evidence that children are making meaningful progress, families understand and trust the educational process, educators can teach well, the environment remains personal, and the community can sustain its commitments.</w:t>
      </w:r>
    </w:p>
    <w:p>
      <w:pPr>
        <w:pStyle w:val="ListBullet"/>
        <w:widowControl/>
      </w:pPr>
      <w:r>
        <w:t>Develop a documented HFL instructional system that educators can use consistently.</w:t>
      </w:r>
    </w:p>
    <w:p>
      <w:pPr>
        <w:pStyle w:val="ListBullet"/>
        <w:widowControl/>
      </w:pPr>
      <w:r>
        <w:t>Build strong assessment, planning, progress-reporting, and family-communication practices.</w:t>
      </w:r>
    </w:p>
    <w:p>
      <w:pPr>
        <w:pStyle w:val="ListBullet"/>
        <w:widowControl/>
      </w:pPr>
      <w:r>
        <w:t>Expand enrichment, field experiences, nature learning, arts, science, movement, and community partnerships.</w:t>
      </w:r>
    </w:p>
    <w:p>
      <w:pPr>
        <w:pStyle w:val="ListBullet"/>
        <w:widowControl/>
      </w:pPr>
      <w:r>
        <w:t>Recruit and develop educators who combine subject knowledge, warmth, observation, flexibility, and high expectations.</w:t>
      </w:r>
    </w:p>
    <w:p>
      <w:pPr>
        <w:pStyle w:val="ListBullet"/>
        <w:widowControl/>
      </w:pPr>
      <w:r>
        <w:t>Strengthen systems for safety, compliance, operations, finance, and responsible enrollment growth.</w:t>
      </w:r>
    </w:p>
    <w:p>
      <w:pPr>
        <w:pStyle w:val="ListBullet"/>
        <w:widowControl/>
      </w:pPr>
      <w:r>
        <w:t>Move toward a larger campus and, when ready, a private-school model that preserves HFL’s personalized character.</w:t>
      </w:r>
    </w:p>
    <w:p>
      <w:pPr>
        <w:pStyle w:val="Heading2"/>
        <w:widowControl/>
      </w:pPr>
      <w:r>
        <w:t>Decisions We Will Protect</w:t>
      </w:r>
    </w:p>
    <w:p>
      <w:pPr>
        <w:widowControl/>
      </w:pPr>
      <w:r>
        <w:t>As HFL grows, convenience or short-term opportunity must not erase the reason it exists. New programs, partnerships, staffing choices, schedules, marketing messages, and facilities should be evaluated against the same questions: Does this help us know children well? Does it strengthen learning? Does it support families? Does it preserve childhood and belonging? Can we deliver it with quality and integrity?</w:t>
      </w:r>
    </w:p>
    <w:p>
      <w:pPr>
        <w:widowControl/>
      </w:pPr>
      <w:r>
        <w:br w:type="page"/>
      </w:r>
    </w:p>
    <w:p>
      <w:pPr>
        <w:pStyle w:val="SectionLabel"/>
        <w:widowControl/>
      </w:pPr>
      <w:r>
        <w:t>SECTION 16</w:t>
      </w:r>
    </w:p>
    <w:p>
      <w:pPr>
        <w:pStyle w:val="Heading1"/>
        <w:widowControl/>
      </w:pPr>
      <w:r>
        <w:t>Shared Commitment</w:t>
      </w:r>
    </w:p>
    <w:p>
      <w:pPr>
        <w:widowControl/>
      </w:pPr>
      <w:r>
        <w:t>Hands Free Learning is a partnership built on trust, clear communication, thoughtful teaching, and shared responsibility. HFL commits to approach each child with dignity, attention, high expectations, and care. Families commit to communicate honestly, honor program expectations, and participate in decisions that affect their child’s learning and safety.</w:t>
      </w:r>
    </w:p>
    <w:p>
      <w:pPr>
        <w:widowControl/>
      </w:pPr>
      <w:r>
        <w:t>Together, we will build a community where children can develop strong foundations, discover what they are capable of, recover from difficulty, deepen their curiosity, and learn how to contribute to the lives of others.</w:t>
      </w:r>
    </w:p>
    <w:p>
      <w:pPr>
        <w:pStyle w:val="Heading2"/>
        <w:widowControl/>
      </w:pPr>
      <w:r>
        <w:t>Family Acknowledgment</w:t>
      </w:r>
    </w:p>
    <w:p>
      <w:pPr>
        <w:widowControl/>
      </w:pPr>
      <w:r>
        <w:t>This handbook explains the founding vision, educational model, community expectations, and baseline policies of Hands Free Learning. Receipt of the handbook does not replace the current enrollment agreement, program-specific policies, or any required consent forms.</w:t>
      </w:r>
    </w:p>
    <w:tbl>
      <w:tblPr>
        <w:tblW w:type="auto" w:w="0"/>
        <w:jc w:val="center"/>
        <w:tblLayout w:type="fixed"/>
        <w:tblLook w:firstColumn="1" w:firstRow="1" w:lastColumn="0" w:lastRow="0" w:noHBand="0" w:noVBand="1" w:val="04A0"/>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Pr>
      <w:tblGrid>
        <w:gridCol w:w="4939"/>
        <w:gridCol w:w="4939"/>
      </w:tblGrid>
      <w:tr>
        <w:tc>
          <w:tcPr>
            <w:tcW w:type="dxa" w:w="3024"/>
            <w:tcMar>
              <w:top w:w="150" w:type="dxa"/>
              <w:start w:w="120" w:type="dxa"/>
              <w:bottom w:w="150" w:type="dxa"/>
              <w:end w:w="120" w:type="dxa"/>
            </w:tcMar>
            <w:vAlign w:val="center"/>
            <w:shd w:fill="F3F4F2"/>
          </w:tcPr>
          <w:p>
            <w:pPr>
              <w:spacing w:after="0"/>
            </w:pPr>
            <w:r>
              <w:rPr>
                <w:b/>
                <w:sz w:val="19"/>
              </w:rPr>
              <w:t>Parent or Guardian Name</w:t>
            </w:r>
          </w:p>
        </w:tc>
        <w:tc>
          <w:tcPr>
            <w:tcW w:type="dxa" w:w="6408"/>
            <w:tcMar>
              <w:top w:w="150" w:type="dxa"/>
              <w:start w:w="120" w:type="dxa"/>
              <w:bottom w:w="150" w:type="dxa"/>
              <w:end w:w="120" w:type="dxa"/>
            </w:tcMar>
            <w:vAlign w:val="center"/>
          </w:tcPr>
          <w:p>
            <w:r>
              <w:t xml:space="preserve"> </w:t>
            </w:r>
          </w:p>
        </w:tc>
      </w:tr>
      <w:tr>
        <w:tc>
          <w:tcPr>
            <w:tcW w:type="dxa" w:w="3024"/>
            <w:tcMar>
              <w:top w:w="150" w:type="dxa"/>
              <w:start w:w="120" w:type="dxa"/>
              <w:bottom w:w="150" w:type="dxa"/>
              <w:end w:w="120" w:type="dxa"/>
            </w:tcMar>
            <w:vAlign w:val="center"/>
            <w:shd w:fill="F3F4F2"/>
          </w:tcPr>
          <w:p>
            <w:pPr>
              <w:spacing w:after="0"/>
            </w:pPr>
            <w:r>
              <w:rPr>
                <w:b/>
                <w:sz w:val="19"/>
              </w:rPr>
              <w:t>Signature</w:t>
            </w:r>
          </w:p>
        </w:tc>
        <w:tc>
          <w:tcPr>
            <w:tcW w:type="dxa" w:w="6408"/>
            <w:tcMar>
              <w:top w:w="150" w:type="dxa"/>
              <w:start w:w="120" w:type="dxa"/>
              <w:bottom w:w="150" w:type="dxa"/>
              <w:end w:w="120" w:type="dxa"/>
            </w:tcMar>
            <w:vAlign w:val="center"/>
          </w:tcPr>
          <w:p>
            <w:r>
              <w:t xml:space="preserve"> </w:t>
            </w:r>
          </w:p>
        </w:tc>
      </w:tr>
      <w:tr>
        <w:tc>
          <w:tcPr>
            <w:tcW w:type="dxa" w:w="3024"/>
            <w:tcMar>
              <w:top w:w="150" w:type="dxa"/>
              <w:start w:w="120" w:type="dxa"/>
              <w:bottom w:w="150" w:type="dxa"/>
              <w:end w:w="120" w:type="dxa"/>
            </w:tcMar>
            <w:vAlign w:val="center"/>
            <w:shd w:fill="F3F4F2"/>
          </w:tcPr>
          <w:p>
            <w:pPr>
              <w:spacing w:after="0"/>
            </w:pPr>
            <w:r>
              <w:rPr>
                <w:b/>
                <w:sz w:val="19"/>
              </w:rPr>
              <w:t>Child or Children</w:t>
            </w:r>
          </w:p>
        </w:tc>
        <w:tc>
          <w:tcPr>
            <w:tcW w:type="dxa" w:w="6408"/>
            <w:tcMar>
              <w:top w:w="150" w:type="dxa"/>
              <w:start w:w="120" w:type="dxa"/>
              <w:bottom w:w="150" w:type="dxa"/>
              <w:end w:w="120" w:type="dxa"/>
            </w:tcMar>
            <w:vAlign w:val="center"/>
          </w:tcPr>
          <w:p>
            <w:r>
              <w:t xml:space="preserve"> </w:t>
            </w:r>
          </w:p>
        </w:tc>
      </w:tr>
      <w:tr>
        <w:tc>
          <w:tcPr>
            <w:tcW w:type="dxa" w:w="3024"/>
            <w:tcMar>
              <w:top w:w="150" w:type="dxa"/>
              <w:start w:w="120" w:type="dxa"/>
              <w:bottom w:w="150" w:type="dxa"/>
              <w:end w:w="120" w:type="dxa"/>
            </w:tcMar>
            <w:vAlign w:val="center"/>
            <w:shd w:fill="F3F4F2"/>
          </w:tcPr>
          <w:p>
            <w:pPr>
              <w:spacing w:after="0"/>
            </w:pPr>
            <w:r>
              <w:rPr>
                <w:b/>
                <w:sz w:val="19"/>
              </w:rPr>
              <w:t>Date</w:t>
            </w:r>
          </w:p>
        </w:tc>
        <w:tc>
          <w:tcPr>
            <w:tcW w:type="dxa" w:w="6408"/>
            <w:tcMar>
              <w:top w:w="150" w:type="dxa"/>
              <w:start w:w="120" w:type="dxa"/>
              <w:bottom w:w="150" w:type="dxa"/>
              <w:end w:w="120" w:type="dxa"/>
            </w:tcMar>
            <w:vAlign w:val="center"/>
          </w:tcPr>
          <w:p>
            <w:r>
              <w:t xml:space="preserve"> </w:t>
            </w:r>
          </w:p>
        </w:tc>
      </w:tr>
    </w:tbl>
    <w:p>
      <w:pPr>
        <w:widowControl/>
      </w:pPr>
    </w:p>
    <w:p>
      <w:pPr>
        <w:pStyle w:val="SmallText"/>
        <w:jc w:val="center"/>
        <w:widowControl/>
      </w:pPr>
      <w:r>
        <w:t>Hands Free Learning</w:t>
      </w:r>
    </w:p>
    <w:p>
      <w:pPr>
        <w:pStyle w:val="SmallText"/>
        <w:jc w:val="center"/>
        <w:widowControl/>
      </w:pPr>
      <w:r>
        <w:t>3951 Alma Road Unit 301  |  McKinney Texas</w:t>
      </w:r>
    </w:p>
    <w:p>
      <w:pPr>
        <w:pStyle w:val="SmallText"/>
        <w:jc w:val="center"/>
        <w:widowControl/>
      </w:pPr>
      <w:r>
        <w:t>Founding Edition  |  September 2026</w:t>
      </w:r>
    </w:p>
    <w:sectPr w:rsidR="00FC693F" w:rsidRPr="0006063C" w:rsidSect="00034616">
      <w:footerReference w:type="default" r:id="rId9"/>
      <w:pgSz w:w="12240" w:h="15840"/>
      <w:pgMar w:top="1037" w:right="1181" w:bottom="1037" w:left="118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60"/>
      <w:jc w:val="center"/>
    </w:pPr>
    <w:r>
      <w:rPr>
        <w:rFonts w:ascii="Aptos" w:hAnsi="Aptos"/>
        <w:color w:val="66706A"/>
        <w:sz w:val="16"/>
      </w:rPr>
      <w:t xml:space="preserve">Hands Free Learning  |  Vision Mission and Family Handbook  |  </w:t>
    </w:r>
    <w:r>
      <w:fldChar w:fldCharType="begin"/>
      <w:instrText xml:space="preserve"> PAGE </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9" w:lineRule="auto"/>
    </w:pPr>
    <w:rPr>
      <w:rFonts w:ascii="Aptos" w:hAnsi="Aptos"/>
      <w:b w:val="0"/>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40"/>
      <w:outlineLvl w:val="0"/>
    </w:pPr>
    <w:rPr>
      <w:rFonts w:asciiTheme="majorHAnsi" w:eastAsiaTheme="majorEastAsia" w:hAnsiTheme="majorHAnsi" w:cstheme="majorBidi" w:ascii="Aptos Display" w:hAnsi="Aptos Display"/>
      <w:b/>
      <w:bCs/>
      <w:color w:val="000000"/>
      <w:sz w:val="38"/>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Aptos Display" w:hAnsi="Aptos Display"/>
      <w:b/>
      <w:bCs/>
      <w:color w:val="000000"/>
      <w:sz w:val="27"/>
      <w:szCs w:val="26"/>
    </w:rPr>
  </w:style>
  <w:style w:type="paragraph" w:styleId="Heading3">
    <w:name w:val="heading 3"/>
    <w:basedOn w:val="Normal"/>
    <w:next w:val="Normal"/>
    <w:link w:val="Heading3Char"/>
    <w:uiPriority w:val="9"/>
    <w:unhideWhenUsed/>
    <w:qFormat/>
    <w:rsid w:val="00FC693F"/>
    <w:pPr>
      <w:keepNext/>
      <w:keepLines/>
      <w:spacing w:before="140" w:after="40"/>
      <w:outlineLvl w:val="2"/>
    </w:pPr>
    <w:rPr>
      <w:rFonts w:asciiTheme="majorHAnsi" w:eastAsiaTheme="majorEastAsia" w:hAnsiTheme="majorHAnsi" w:cstheme="majorBidi" w:ascii="Aptos" w:hAnsi="Aptos"/>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40" w:line="240" w:lineRule="auto"/>
      <w:contextualSpacing/>
    </w:pPr>
    <w:rPr>
      <w:rFonts w:asciiTheme="majorHAnsi" w:eastAsiaTheme="majorEastAsia" w:hAnsiTheme="majorHAnsi" w:cstheme="majorBidi" w:ascii="Aptos Display" w:hAnsi="Aptos Display"/>
      <w:b/>
      <w:color w:val="000000"/>
      <w:spacing w:val="5"/>
      <w:kern w:val="28"/>
      <w:sz w:val="5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180"/>
    </w:pPr>
    <w:rPr>
      <w:rFonts w:asciiTheme="majorHAnsi" w:eastAsiaTheme="majorEastAsia" w:hAnsiTheme="majorHAnsi" w:cstheme="majorBidi" w:ascii="Aptos" w:hAnsi="Aptos"/>
      <w:b w:val="0"/>
      <w:i/>
      <w:iCs/>
      <w:color w:val="000000"/>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ind w:left="360" w:hanging="245"/>
      <w:contextualSpacing/>
    </w:pPr>
    <w:rPr>
      <w:rFonts w:ascii="Aptos" w:hAnsi="Aptos"/>
      <w:b w:val="0"/>
      <w:color w:val="000000"/>
      <w:sz w:val="21"/>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60"/>
      <w:ind w:left="360" w:hanging="245"/>
      <w:contextualSpacing/>
    </w:pPr>
    <w:rPr>
      <w:rFonts w:ascii="Aptos" w:hAnsi="Aptos"/>
      <w:b w:val="0"/>
      <w:color w:val="000000"/>
      <w:sz w:val="21"/>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ectionLabel">
    <w:name w:val="Section Label"/>
    <w:pPr>
      <w:keepNext/>
      <w:spacing w:before="40" w:after="100"/>
    </w:pPr>
    <w:rPr>
      <w:rFonts w:ascii="Aptos" w:hAnsi="Aptos"/>
      <w:b/>
      <w:color w:val="355E4A"/>
      <w:sz w:val="17"/>
    </w:rPr>
  </w:style>
  <w:style w:type="paragraph" w:customStyle="1" w:styleId="Statement">
    <w:name w:val="Statement"/>
    <w:pPr>
      <w:keepLines/>
      <w:spacing w:before="100" w:after="200" w:line="269" w:lineRule="auto"/>
    </w:pPr>
    <w:rPr>
      <w:rFonts w:ascii="Aptos Display" w:hAnsi="Aptos Display"/>
      <w:b w:val="0"/>
      <w:color w:val="000000"/>
      <w:sz w:val="32"/>
    </w:rPr>
  </w:style>
  <w:style w:type="paragraph" w:customStyle="1" w:styleId="SmallText">
    <w:name w:val="Small Text"/>
    <w:pPr>
      <w:spacing w:after="80"/>
    </w:pPr>
    <w:rPr>
      <w:rFonts w:ascii="Aptos" w:hAnsi="Aptos"/>
      <w:b w:val="0"/>
      <w:color w:val="66706A"/>
      <w:sz w:val="17"/>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Hands Free Learning Vision Mission and Family Handbook</dc:title>
  <dc:subject>Founding vision educational model and family handbook</dc:subject>
  <dc:creator>Ama Akerele</dc:creator>
  <cp:keywords>Hands Free Learning, vision, mission, family handbook, personalized learning</cp:keywords>
  <dc:description>generated by python-docx</dc:description>
  <cp:lastModifiedBy/>
  <cp:revision>1</cp:revision>
  <dcterms:created xsi:type="dcterms:W3CDTF">2013-12-23T23:15:00Z</dcterms:created>
  <dcterms:modified xsi:type="dcterms:W3CDTF">2013-12-23T23:15:00Z</dcterms:modified>
  <cp:category/>
</cp:coreProperties>
</file>